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C9" w:rsidRDefault="003E0DC9" w:rsidP="003E0DC9">
      <w:pPr>
        <w:spacing w:after="0" w:line="480" w:lineRule="auto"/>
        <w:jc w:val="center"/>
        <w:rPr>
          <w:szCs w:val="24"/>
        </w:rPr>
      </w:pPr>
    </w:p>
    <w:p w:rsidR="003E0DC9" w:rsidRDefault="003E0DC9" w:rsidP="003E0DC9">
      <w:pPr>
        <w:spacing w:after="0" w:line="480" w:lineRule="auto"/>
        <w:jc w:val="center"/>
        <w:rPr>
          <w:szCs w:val="24"/>
        </w:rPr>
      </w:pPr>
    </w:p>
    <w:p w:rsidR="00F60F45" w:rsidRDefault="00F60F45" w:rsidP="003E0DC9">
      <w:pPr>
        <w:spacing w:after="0" w:line="480" w:lineRule="auto"/>
        <w:jc w:val="center"/>
        <w:rPr>
          <w:rFonts w:cs="Times New Roman"/>
          <w:szCs w:val="24"/>
        </w:rPr>
      </w:pPr>
    </w:p>
    <w:p w:rsidR="00F60F45" w:rsidRDefault="00F60F45" w:rsidP="003E0DC9">
      <w:pPr>
        <w:spacing w:after="0" w:line="480" w:lineRule="auto"/>
        <w:jc w:val="center"/>
        <w:rPr>
          <w:rFonts w:cs="Times New Roman"/>
          <w:szCs w:val="24"/>
        </w:rPr>
      </w:pPr>
    </w:p>
    <w:p w:rsidR="00F60F45" w:rsidRDefault="00F60F45" w:rsidP="003E0DC9">
      <w:pPr>
        <w:spacing w:after="0" w:line="480" w:lineRule="auto"/>
        <w:jc w:val="center"/>
        <w:rPr>
          <w:rFonts w:cs="Times New Roman"/>
          <w:szCs w:val="24"/>
        </w:rPr>
      </w:pPr>
    </w:p>
    <w:p w:rsidR="003E0DC9" w:rsidRDefault="00F60F45" w:rsidP="003E0DC9">
      <w:pPr>
        <w:spacing w:after="0" w:line="480" w:lineRule="auto"/>
        <w:jc w:val="center"/>
        <w:rPr>
          <w:szCs w:val="24"/>
        </w:rPr>
      </w:pPr>
      <w:r w:rsidRPr="00BE4C34">
        <w:rPr>
          <w:rFonts w:cs="Times New Roman"/>
          <w:szCs w:val="24"/>
        </w:rPr>
        <w:t>HYLTON PERFORMING ARTS CENTER</w:t>
      </w:r>
    </w:p>
    <w:p w:rsidR="003E0DC9" w:rsidRDefault="003E0DC9" w:rsidP="003E0DC9">
      <w:pPr>
        <w:spacing w:after="0" w:line="480" w:lineRule="auto"/>
        <w:jc w:val="center"/>
        <w:rPr>
          <w:szCs w:val="24"/>
        </w:rPr>
      </w:pPr>
    </w:p>
    <w:p w:rsidR="00F60F45" w:rsidRDefault="00F60F45" w:rsidP="003E0DC9">
      <w:pPr>
        <w:spacing w:after="0" w:line="480" w:lineRule="auto"/>
        <w:jc w:val="center"/>
        <w:rPr>
          <w:szCs w:val="24"/>
        </w:rPr>
      </w:pPr>
    </w:p>
    <w:p w:rsidR="00F60F45" w:rsidRDefault="00F60F45" w:rsidP="003E0DC9">
      <w:pPr>
        <w:spacing w:after="0" w:line="480" w:lineRule="auto"/>
        <w:jc w:val="center"/>
        <w:rPr>
          <w:szCs w:val="24"/>
        </w:rPr>
      </w:pPr>
    </w:p>
    <w:p w:rsidR="00F60F45" w:rsidRDefault="00F60F45" w:rsidP="003E0DC9">
      <w:pPr>
        <w:spacing w:after="0" w:line="480" w:lineRule="auto"/>
        <w:jc w:val="center"/>
        <w:rPr>
          <w:szCs w:val="24"/>
        </w:rPr>
      </w:pPr>
    </w:p>
    <w:p w:rsidR="003E0DC9" w:rsidRDefault="003E0DC9" w:rsidP="003E0DC9">
      <w:pPr>
        <w:spacing w:after="0" w:line="480" w:lineRule="auto"/>
        <w:jc w:val="center"/>
        <w:rPr>
          <w:szCs w:val="24"/>
        </w:rPr>
      </w:pPr>
    </w:p>
    <w:p w:rsidR="003E0DC9" w:rsidRPr="00AE468A" w:rsidRDefault="003E0DC9" w:rsidP="003E0DC9">
      <w:pPr>
        <w:spacing w:after="0" w:line="480" w:lineRule="auto"/>
        <w:jc w:val="center"/>
        <w:rPr>
          <w:szCs w:val="24"/>
        </w:rPr>
      </w:pPr>
      <w:r w:rsidRPr="00AE468A">
        <w:rPr>
          <w:szCs w:val="24"/>
        </w:rPr>
        <w:t>Name</w:t>
      </w:r>
    </w:p>
    <w:p w:rsidR="003E0DC9" w:rsidRPr="00AE468A" w:rsidRDefault="003E0DC9" w:rsidP="003E0DC9">
      <w:pPr>
        <w:spacing w:after="0" w:line="480" w:lineRule="auto"/>
        <w:jc w:val="center"/>
        <w:rPr>
          <w:szCs w:val="24"/>
        </w:rPr>
      </w:pPr>
      <w:r w:rsidRPr="00AE468A">
        <w:rPr>
          <w:szCs w:val="24"/>
        </w:rPr>
        <w:t>Course</w:t>
      </w:r>
    </w:p>
    <w:p w:rsidR="003E0DC9" w:rsidRDefault="003E0DC9" w:rsidP="003E0DC9">
      <w:pPr>
        <w:spacing w:line="480" w:lineRule="auto"/>
        <w:jc w:val="center"/>
        <w:rPr>
          <w:rFonts w:cs="Times New Roman"/>
          <w:szCs w:val="24"/>
        </w:rPr>
      </w:pPr>
      <w:r w:rsidRPr="00AE468A">
        <w:rPr>
          <w:szCs w:val="24"/>
        </w:rPr>
        <w:t>Date</w:t>
      </w:r>
    </w:p>
    <w:p w:rsidR="003E0DC9" w:rsidRDefault="003E0DC9" w:rsidP="00BE4C34">
      <w:pPr>
        <w:spacing w:line="480" w:lineRule="auto"/>
        <w:rPr>
          <w:rFonts w:cs="Times New Roman"/>
          <w:szCs w:val="24"/>
        </w:rPr>
      </w:pPr>
    </w:p>
    <w:p w:rsidR="003E0DC9" w:rsidRDefault="003E0DC9" w:rsidP="00BE4C34">
      <w:pPr>
        <w:spacing w:line="480" w:lineRule="auto"/>
        <w:rPr>
          <w:rFonts w:cs="Times New Roman"/>
          <w:szCs w:val="24"/>
        </w:rPr>
      </w:pPr>
    </w:p>
    <w:p w:rsidR="003E0DC9" w:rsidRDefault="003E0DC9" w:rsidP="00BE4C34">
      <w:pPr>
        <w:spacing w:line="480" w:lineRule="auto"/>
        <w:rPr>
          <w:rFonts w:cs="Times New Roman"/>
          <w:szCs w:val="24"/>
        </w:rPr>
      </w:pPr>
    </w:p>
    <w:p w:rsidR="003E0DC9" w:rsidRDefault="003E0DC9" w:rsidP="00BE4C34">
      <w:pPr>
        <w:spacing w:line="480" w:lineRule="auto"/>
        <w:rPr>
          <w:rFonts w:cs="Times New Roman"/>
          <w:szCs w:val="24"/>
        </w:rPr>
      </w:pPr>
    </w:p>
    <w:p w:rsidR="003E0DC9" w:rsidRDefault="003E0DC9" w:rsidP="00BE4C34">
      <w:pPr>
        <w:spacing w:line="480" w:lineRule="auto"/>
        <w:rPr>
          <w:rFonts w:cs="Times New Roman"/>
          <w:szCs w:val="24"/>
        </w:rPr>
      </w:pPr>
    </w:p>
    <w:p w:rsidR="003E0DC9" w:rsidRDefault="003E0DC9" w:rsidP="00BE4C34">
      <w:pPr>
        <w:spacing w:line="480" w:lineRule="auto"/>
        <w:rPr>
          <w:rFonts w:cs="Times New Roman"/>
          <w:szCs w:val="24"/>
        </w:rPr>
      </w:pPr>
    </w:p>
    <w:p w:rsidR="003E0DC9" w:rsidRDefault="003E0DC9" w:rsidP="00BE4C34">
      <w:pPr>
        <w:spacing w:line="480" w:lineRule="auto"/>
        <w:rPr>
          <w:rFonts w:cs="Times New Roman"/>
          <w:szCs w:val="24"/>
        </w:rPr>
      </w:pPr>
    </w:p>
    <w:p w:rsidR="003E0DC9" w:rsidRDefault="003E0DC9" w:rsidP="00BE4C34">
      <w:pPr>
        <w:spacing w:line="480" w:lineRule="auto"/>
        <w:rPr>
          <w:rFonts w:cs="Times New Roman"/>
          <w:szCs w:val="24"/>
        </w:rPr>
      </w:pPr>
    </w:p>
    <w:p w:rsidR="00F60F45" w:rsidRDefault="00F60F45" w:rsidP="00BE4C34">
      <w:pPr>
        <w:spacing w:line="480" w:lineRule="auto"/>
        <w:rPr>
          <w:rFonts w:cs="Times New Roman"/>
          <w:szCs w:val="24"/>
        </w:rPr>
      </w:pPr>
    </w:p>
    <w:p w:rsidR="00390805" w:rsidRPr="00390805" w:rsidRDefault="00F60F45" w:rsidP="00390805">
      <w:pPr>
        <w:spacing w:line="480" w:lineRule="auto"/>
        <w:jc w:val="center"/>
        <w:rPr>
          <w:rFonts w:cs="Times New Roman"/>
          <w:b/>
          <w:szCs w:val="24"/>
        </w:rPr>
      </w:pPr>
      <w:r w:rsidRPr="00390805">
        <w:rPr>
          <w:rFonts w:cs="Times New Roman"/>
          <w:b/>
          <w:szCs w:val="24"/>
        </w:rPr>
        <w:lastRenderedPageBreak/>
        <w:t>Hylton Performing Arts Center</w:t>
      </w:r>
    </w:p>
    <w:p w:rsidR="00065CC2" w:rsidRPr="00BE4C34" w:rsidRDefault="00875C7E" w:rsidP="00BC13F1">
      <w:pPr>
        <w:spacing w:line="480" w:lineRule="auto"/>
        <w:ind w:firstLine="708"/>
        <w:rPr>
          <w:rFonts w:cs="Times New Roman"/>
          <w:szCs w:val="24"/>
        </w:rPr>
      </w:pPr>
      <w:r w:rsidRPr="00BE4C34">
        <w:rPr>
          <w:rFonts w:cs="Times New Roman"/>
          <w:szCs w:val="24"/>
        </w:rPr>
        <w:t>Hylton Performing Arts Center started its operations in the year 2010 through a partnership between George Mason University, Prince William County and Manassas</w:t>
      </w:r>
      <w:r w:rsidR="00870492" w:rsidRPr="00BE4C34">
        <w:rPr>
          <w:rFonts w:cs="Times New Roman"/>
          <w:szCs w:val="24"/>
        </w:rPr>
        <w:t xml:space="preserve">. The aim of the </w:t>
      </w:r>
      <w:r w:rsidR="0020765A" w:rsidRPr="00BE4C34">
        <w:rPr>
          <w:rFonts w:cs="Times New Roman"/>
          <w:szCs w:val="24"/>
        </w:rPr>
        <w:t>partnership</w:t>
      </w:r>
      <w:r w:rsidR="00870492" w:rsidRPr="00BE4C34">
        <w:rPr>
          <w:rFonts w:cs="Times New Roman"/>
          <w:szCs w:val="24"/>
        </w:rPr>
        <w:t xml:space="preserve"> was to put a 14,000-</w:t>
      </w:r>
      <w:r w:rsidR="0020765A" w:rsidRPr="00BE4C34">
        <w:rPr>
          <w:rFonts w:cs="Times New Roman"/>
          <w:szCs w:val="24"/>
        </w:rPr>
        <w:t>square</w:t>
      </w:r>
      <w:r w:rsidR="00870492" w:rsidRPr="00BE4C34">
        <w:rPr>
          <w:rFonts w:cs="Times New Roman"/>
          <w:szCs w:val="24"/>
        </w:rPr>
        <w:t>- foot</w:t>
      </w:r>
      <w:r w:rsidR="0020765A" w:rsidRPr="00BE4C34">
        <w:rPr>
          <w:rFonts w:cs="Times New Roman"/>
          <w:szCs w:val="24"/>
        </w:rPr>
        <w:t xml:space="preserve"> rehearsal</w:t>
      </w:r>
      <w:r w:rsidR="00870492" w:rsidRPr="00BE4C34">
        <w:rPr>
          <w:rFonts w:cs="Times New Roman"/>
          <w:szCs w:val="24"/>
        </w:rPr>
        <w:t xml:space="preserve"> and education wing</w:t>
      </w:r>
      <w:r w:rsidR="00F60F45">
        <w:rPr>
          <w:rStyle w:val="FootnoteReference"/>
          <w:rFonts w:cs="Times New Roman"/>
          <w:szCs w:val="24"/>
        </w:rPr>
        <w:footnoteReference w:id="1"/>
      </w:r>
      <w:r w:rsidR="0020765A" w:rsidRPr="00BE4C34">
        <w:rPr>
          <w:rFonts w:cs="Times New Roman"/>
          <w:szCs w:val="24"/>
        </w:rPr>
        <w:t>.</w:t>
      </w:r>
      <w:r w:rsidR="003E10A0" w:rsidRPr="00BE4C34">
        <w:rPr>
          <w:rFonts w:cs="Times New Roman"/>
          <w:szCs w:val="24"/>
        </w:rPr>
        <w:t xml:space="preserve"> The center comprise eight full season of accommodating everything starting from operas and acrobat.</w:t>
      </w:r>
      <w:r w:rsidR="006B5AA6" w:rsidRPr="00BE4C34">
        <w:rPr>
          <w:rFonts w:cs="Times New Roman"/>
          <w:szCs w:val="24"/>
        </w:rPr>
        <w:t xml:space="preserve"> Based on the financial documents released in reply to a freedom of information Act portrays that Hylton Performing Arts Center does still have some responsibilities left to start operating in the black irres</w:t>
      </w:r>
      <w:r w:rsidR="00A148EA" w:rsidRPr="00BE4C34">
        <w:rPr>
          <w:rFonts w:cs="Times New Roman"/>
          <w:szCs w:val="24"/>
        </w:rPr>
        <w:t>pective to</w:t>
      </w:r>
      <w:r w:rsidR="006B5AA6" w:rsidRPr="00BE4C34">
        <w:rPr>
          <w:rFonts w:cs="Times New Roman"/>
          <w:szCs w:val="24"/>
        </w:rPr>
        <w:t xml:space="preserve"> its steady build up in its </w:t>
      </w:r>
      <w:r w:rsidR="00362C3B" w:rsidRPr="00BE4C34">
        <w:rPr>
          <w:rFonts w:cs="Times New Roman"/>
          <w:szCs w:val="24"/>
        </w:rPr>
        <w:t>endowment</w:t>
      </w:r>
      <w:r w:rsidR="006B5AA6" w:rsidRPr="00BE4C34">
        <w:rPr>
          <w:rFonts w:cs="Times New Roman"/>
          <w:szCs w:val="24"/>
        </w:rPr>
        <w:t xml:space="preserve"> and total </w:t>
      </w:r>
      <w:r w:rsidR="00BC13F1" w:rsidRPr="00BE4C34">
        <w:rPr>
          <w:rFonts w:cs="Times New Roman"/>
          <w:szCs w:val="24"/>
        </w:rPr>
        <w:t>income</w:t>
      </w:r>
      <w:r w:rsidR="006B5AA6" w:rsidRPr="00BE4C34">
        <w:rPr>
          <w:rFonts w:cs="Times New Roman"/>
          <w:szCs w:val="24"/>
        </w:rPr>
        <w:t>.</w:t>
      </w:r>
      <w:r w:rsidR="00752861" w:rsidRPr="00BE4C34">
        <w:rPr>
          <w:rFonts w:cs="Times New Roman"/>
          <w:szCs w:val="24"/>
        </w:rPr>
        <w:t xml:space="preserve"> This report includes the general information on revenues, assets, </w:t>
      </w:r>
      <w:r w:rsidR="00B23B9E" w:rsidRPr="00BE4C34">
        <w:rPr>
          <w:rFonts w:cs="Times New Roman"/>
          <w:szCs w:val="24"/>
        </w:rPr>
        <w:t>and tendency</w:t>
      </w:r>
      <w:r w:rsidR="00752861" w:rsidRPr="00BE4C34">
        <w:rPr>
          <w:rFonts w:cs="Times New Roman"/>
          <w:szCs w:val="24"/>
        </w:rPr>
        <w:t xml:space="preserve"> in income, expenses and other relevant information using the financial data for Hylton Performing Arts Center from 2010 to 2017.</w:t>
      </w:r>
    </w:p>
    <w:p w:rsidR="0017003E" w:rsidRPr="00BE4C34" w:rsidRDefault="0017003E" w:rsidP="00BC13F1">
      <w:pPr>
        <w:spacing w:line="480" w:lineRule="auto"/>
        <w:ind w:firstLine="708"/>
        <w:rPr>
          <w:rFonts w:cs="Times New Roman"/>
          <w:szCs w:val="24"/>
        </w:rPr>
      </w:pPr>
      <w:r w:rsidRPr="00BE4C34">
        <w:rPr>
          <w:rFonts w:cs="Times New Roman"/>
          <w:szCs w:val="24"/>
        </w:rPr>
        <w:t xml:space="preserve">Revenues for Hylton Performing Arts Center comprise of ticket sales, rental fees, advertising income, contributed income, operating support for George Mason University, George Mason University debt service </w:t>
      </w:r>
      <w:r w:rsidR="00775775" w:rsidRPr="00BE4C34">
        <w:rPr>
          <w:rFonts w:cs="Times New Roman"/>
          <w:szCs w:val="24"/>
        </w:rPr>
        <w:t>support,</w:t>
      </w:r>
      <w:r w:rsidRPr="00BE4C34">
        <w:rPr>
          <w:rFonts w:cs="Times New Roman"/>
          <w:szCs w:val="24"/>
        </w:rPr>
        <w:t xml:space="preserve"> Prince William County debt</w:t>
      </w:r>
      <w:r w:rsidR="00535555" w:rsidRPr="00BE4C34">
        <w:rPr>
          <w:rFonts w:cs="Times New Roman"/>
          <w:szCs w:val="24"/>
        </w:rPr>
        <w:t xml:space="preserve"> service </w:t>
      </w:r>
      <w:r w:rsidR="00775775" w:rsidRPr="00BE4C34">
        <w:rPr>
          <w:rFonts w:cs="Times New Roman"/>
          <w:szCs w:val="24"/>
        </w:rPr>
        <w:t>support</w:t>
      </w:r>
      <w:r w:rsidR="00535555" w:rsidRPr="00BE4C34">
        <w:rPr>
          <w:rFonts w:cs="Times New Roman"/>
          <w:szCs w:val="24"/>
        </w:rPr>
        <w:t xml:space="preserve"> and City of Manassas Debt service support.</w:t>
      </w:r>
      <w:r w:rsidR="000A4AC8" w:rsidRPr="00BE4C34">
        <w:rPr>
          <w:rFonts w:cs="Times New Roman"/>
          <w:szCs w:val="24"/>
        </w:rPr>
        <w:t xml:space="preserve"> To begin with, Hylton Performing Arts Center ticket sales increased from 2010 to 2013 then the sales dropped slightly in 2014 then it rose up again in 2016 and finally it went down in 2016 and 2017 </w:t>
      </w:r>
      <w:r w:rsidR="00971ADD" w:rsidRPr="00BE4C34">
        <w:rPr>
          <w:rFonts w:cs="Times New Roman"/>
          <w:szCs w:val="24"/>
        </w:rPr>
        <w:t>despondently</w:t>
      </w:r>
      <w:r w:rsidR="00906955">
        <w:rPr>
          <w:rStyle w:val="FootnoteReference"/>
          <w:rFonts w:cs="Times New Roman"/>
          <w:szCs w:val="24"/>
        </w:rPr>
        <w:footnoteReference w:id="2"/>
      </w:r>
      <w:r w:rsidR="000A4AC8" w:rsidRPr="00BE4C34">
        <w:rPr>
          <w:rFonts w:cs="Times New Roman"/>
          <w:szCs w:val="24"/>
        </w:rPr>
        <w:t>.</w:t>
      </w:r>
      <w:r w:rsidR="00971ADD" w:rsidRPr="00BE4C34">
        <w:rPr>
          <w:rFonts w:cs="Times New Roman"/>
          <w:szCs w:val="24"/>
        </w:rPr>
        <w:t xml:space="preserve"> </w:t>
      </w:r>
      <w:r w:rsidR="00B7585E" w:rsidRPr="00BE4C34">
        <w:rPr>
          <w:rFonts w:cs="Times New Roman"/>
          <w:szCs w:val="24"/>
        </w:rPr>
        <w:t xml:space="preserve"> The few ticket sales in 2010 could be as a result of poor advertisement or promotion and at the sam</w:t>
      </w:r>
      <w:bookmarkStart w:id="0" w:name="_GoBack"/>
      <w:bookmarkEnd w:id="0"/>
      <w:r w:rsidR="00B7585E" w:rsidRPr="00BE4C34">
        <w:rPr>
          <w:rFonts w:cs="Times New Roman"/>
          <w:szCs w:val="24"/>
        </w:rPr>
        <w:t>e time high ticket sales in 2015 could be as a result of massive promotion and advertisement to its clients</w:t>
      </w:r>
      <w:r w:rsidR="00BC13F1">
        <w:rPr>
          <w:rFonts w:cs="Times New Roman"/>
          <w:szCs w:val="24"/>
        </w:rPr>
        <w:t xml:space="preserve"> </w:t>
      </w:r>
    </w:p>
    <w:p w:rsidR="00320A0A" w:rsidRPr="00BE4C34" w:rsidRDefault="00320A0A" w:rsidP="00BC13F1">
      <w:pPr>
        <w:spacing w:line="480" w:lineRule="auto"/>
        <w:ind w:firstLine="708"/>
        <w:rPr>
          <w:rFonts w:cs="Times New Roman"/>
          <w:szCs w:val="24"/>
        </w:rPr>
      </w:pPr>
      <w:r w:rsidRPr="00BE4C34">
        <w:rPr>
          <w:rFonts w:cs="Times New Roman"/>
          <w:szCs w:val="24"/>
        </w:rPr>
        <w:lastRenderedPageBreak/>
        <w:t>On the rental fees, Hylton Performing Arts Center</w:t>
      </w:r>
      <w:r w:rsidR="00072BA0" w:rsidRPr="00BE4C34">
        <w:rPr>
          <w:rFonts w:cs="Times New Roman"/>
          <w:szCs w:val="24"/>
        </w:rPr>
        <w:t xml:space="preserve"> had an optimistic trend as from 2010 to 2017. In all the years, the revenues from rental </w:t>
      </w:r>
      <w:r w:rsidR="00095D8D" w:rsidRPr="00BE4C34">
        <w:rPr>
          <w:rFonts w:cs="Times New Roman"/>
          <w:szCs w:val="24"/>
        </w:rPr>
        <w:t>program were</w:t>
      </w:r>
      <w:r w:rsidR="00072BA0" w:rsidRPr="00BE4C34">
        <w:rPr>
          <w:rFonts w:cs="Times New Roman"/>
          <w:szCs w:val="24"/>
        </w:rPr>
        <w:t xml:space="preserve"> increasing from 2,110 in 2010 to 644,210 in 2017.</w:t>
      </w:r>
      <w:r w:rsidR="00095D8D" w:rsidRPr="00BE4C34">
        <w:rPr>
          <w:rFonts w:cs="Times New Roman"/>
          <w:szCs w:val="24"/>
        </w:rPr>
        <w:t xml:space="preserve"> </w:t>
      </w:r>
      <w:r w:rsidR="00BC13F1" w:rsidRPr="00BE4C34">
        <w:rPr>
          <w:rFonts w:cs="Times New Roman"/>
          <w:szCs w:val="24"/>
        </w:rPr>
        <w:t>In</w:t>
      </w:r>
      <w:r w:rsidR="00982185" w:rsidRPr="00BE4C34">
        <w:rPr>
          <w:rFonts w:cs="Times New Roman"/>
          <w:szCs w:val="24"/>
        </w:rPr>
        <w:t xml:space="preserve"> 2010, students in the university were in small numbers as compared to the year 2017. This reflected on the few number of rental program in this apartment in 2010 hence small figures in revenue for that year.</w:t>
      </w:r>
      <w:r w:rsidR="006169C0" w:rsidRPr="00BE4C34">
        <w:rPr>
          <w:rFonts w:cs="Times New Roman"/>
          <w:szCs w:val="24"/>
        </w:rPr>
        <w:t xml:space="preserve"> As the institution grew up, many of the students joined and a s a result, rent programs had to be increased.</w:t>
      </w:r>
      <w:r w:rsidR="00F3703A" w:rsidRPr="00BE4C34">
        <w:rPr>
          <w:rFonts w:cs="Times New Roman"/>
          <w:szCs w:val="24"/>
        </w:rPr>
        <w:t xml:space="preserve"> </w:t>
      </w:r>
      <w:r w:rsidR="00F82F11" w:rsidRPr="00BE4C34">
        <w:rPr>
          <w:rFonts w:cs="Times New Roman"/>
          <w:szCs w:val="24"/>
        </w:rPr>
        <w:t xml:space="preserve">Advertising revenue </w:t>
      </w:r>
      <w:r w:rsidR="00C13C5C" w:rsidRPr="00BE4C34">
        <w:rPr>
          <w:rFonts w:cs="Times New Roman"/>
          <w:szCs w:val="24"/>
        </w:rPr>
        <w:t>was</w:t>
      </w:r>
      <w:r w:rsidR="00F82F11" w:rsidRPr="00BE4C34">
        <w:rPr>
          <w:rFonts w:cs="Times New Roman"/>
          <w:szCs w:val="24"/>
        </w:rPr>
        <w:t xml:space="preserve"> inconsistency all through from 2010 to 2017</w:t>
      </w:r>
      <w:r w:rsidR="00906955">
        <w:rPr>
          <w:rStyle w:val="FootnoteReference"/>
          <w:rFonts w:cs="Times New Roman"/>
          <w:szCs w:val="24"/>
        </w:rPr>
        <w:footnoteReference w:id="3"/>
      </w:r>
      <w:r w:rsidR="00F82F11" w:rsidRPr="00BE4C34">
        <w:rPr>
          <w:rFonts w:cs="Times New Roman"/>
          <w:szCs w:val="24"/>
        </w:rPr>
        <w:t>.</w:t>
      </w:r>
      <w:r w:rsidR="00C13C5C" w:rsidRPr="00BE4C34">
        <w:rPr>
          <w:rFonts w:cs="Times New Roman"/>
          <w:szCs w:val="24"/>
        </w:rPr>
        <w:t xml:space="preserve"> There was n</w:t>
      </w:r>
      <w:r w:rsidR="002B7DA2" w:rsidRPr="00BE4C34">
        <w:rPr>
          <w:rFonts w:cs="Times New Roman"/>
          <w:szCs w:val="24"/>
        </w:rPr>
        <w:t xml:space="preserve">o advertising revenue in 2010 while the highest revenue from advertisement was recorded in 2011 financial year. </w:t>
      </w:r>
    </w:p>
    <w:p w:rsidR="007A13A5" w:rsidRPr="00BE4C34" w:rsidRDefault="007A13A5" w:rsidP="00BC13F1">
      <w:pPr>
        <w:spacing w:line="480" w:lineRule="auto"/>
        <w:ind w:firstLine="708"/>
        <w:rPr>
          <w:rFonts w:cs="Times New Roman"/>
          <w:szCs w:val="24"/>
        </w:rPr>
      </w:pPr>
      <w:r w:rsidRPr="00BE4C34">
        <w:rPr>
          <w:rFonts w:cs="Times New Roman"/>
          <w:szCs w:val="24"/>
        </w:rPr>
        <w:t>Hylton Performing Arts Center contributed revenue increase from 526,626 in 2010 to 639504 in 2013. Thereafter, the revenue has been having an inconsistency trend. The highest contributed revenue was in 2012 while the lowest was in 2017.</w:t>
      </w:r>
      <w:r w:rsidR="0092031C" w:rsidRPr="00BE4C34">
        <w:rPr>
          <w:rFonts w:cs="Times New Roman"/>
          <w:szCs w:val="24"/>
        </w:rPr>
        <w:t xml:space="preserve"> Moreover, operating support revenue was at the pick in 2017 at 1017150 and lowest in 2010 at 244,252.</w:t>
      </w:r>
      <w:r w:rsidR="00B45847" w:rsidRPr="00BE4C34">
        <w:rPr>
          <w:rFonts w:cs="Times New Roman"/>
          <w:szCs w:val="24"/>
        </w:rPr>
        <w:t xml:space="preserve"> This increase in 2017 could be as a result of increase in the number of students in the institution.</w:t>
      </w:r>
      <w:r w:rsidR="000539A0" w:rsidRPr="00BE4C34">
        <w:rPr>
          <w:rFonts w:cs="Times New Roman"/>
          <w:szCs w:val="24"/>
        </w:rPr>
        <w:t xml:space="preserve"> Prince William County debt service support</w:t>
      </w:r>
      <w:r w:rsidR="00CF358F" w:rsidRPr="00BE4C34">
        <w:rPr>
          <w:rFonts w:cs="Times New Roman"/>
          <w:szCs w:val="24"/>
        </w:rPr>
        <w:t xml:space="preserve"> was highest in 2013 at 1913368 and lowest in 2010 at 764,475</w:t>
      </w:r>
      <w:r w:rsidR="00330DB5" w:rsidRPr="00BE4C34">
        <w:rPr>
          <w:rFonts w:cs="Times New Roman"/>
          <w:szCs w:val="24"/>
        </w:rPr>
        <w:t>. On the other hand, George Mason University debt service support revenue was magnificent in 2013 in contrast with the other years.</w:t>
      </w:r>
      <w:r w:rsidR="00A85BCB" w:rsidRPr="00BE4C34">
        <w:rPr>
          <w:rFonts w:cs="Times New Roman"/>
          <w:szCs w:val="24"/>
        </w:rPr>
        <w:t xml:space="preserve"> City of Manassas Debt service support</w:t>
      </w:r>
      <w:r w:rsidR="00E11779" w:rsidRPr="00BE4C34">
        <w:rPr>
          <w:rFonts w:cs="Times New Roman"/>
          <w:szCs w:val="24"/>
        </w:rPr>
        <w:t xml:space="preserve"> revenue was highest in 2013 and lowest in 2010. To wind up in general information on revenues,</w:t>
      </w:r>
      <w:r w:rsidR="000710AB" w:rsidRPr="00BE4C34">
        <w:rPr>
          <w:rFonts w:cs="Times New Roman"/>
          <w:szCs w:val="24"/>
        </w:rPr>
        <w:t xml:space="preserve"> 2017 financial year performed very well in revenue collection recording a total of 6249403 dollars while the lowest revenue was recorded in 2010 was at 2121218 dollars</w:t>
      </w:r>
      <w:r w:rsidR="00906955">
        <w:rPr>
          <w:rStyle w:val="FootnoteReference"/>
          <w:rFonts w:cs="Times New Roman"/>
          <w:szCs w:val="24"/>
        </w:rPr>
        <w:footnoteReference w:id="4"/>
      </w:r>
      <w:r w:rsidR="000710AB" w:rsidRPr="00BE4C34">
        <w:rPr>
          <w:rFonts w:cs="Times New Roman"/>
          <w:szCs w:val="24"/>
        </w:rPr>
        <w:t xml:space="preserve">. </w:t>
      </w:r>
      <w:r w:rsidR="00322D57" w:rsidRPr="00BE4C34">
        <w:rPr>
          <w:rFonts w:cs="Times New Roman"/>
          <w:szCs w:val="24"/>
        </w:rPr>
        <w:t>This contributes to a margin of 4128185 between 2010 and 2017.</w:t>
      </w:r>
    </w:p>
    <w:p w:rsidR="004F1291" w:rsidRPr="00BE4C34" w:rsidRDefault="00CF5253" w:rsidP="00BC13F1">
      <w:pPr>
        <w:spacing w:line="480" w:lineRule="auto"/>
        <w:ind w:firstLine="708"/>
        <w:rPr>
          <w:rFonts w:cs="Times New Roman"/>
          <w:szCs w:val="24"/>
        </w:rPr>
      </w:pPr>
      <w:r w:rsidRPr="00BE4C34">
        <w:rPr>
          <w:rFonts w:cs="Times New Roman"/>
          <w:szCs w:val="24"/>
        </w:rPr>
        <w:lastRenderedPageBreak/>
        <w:t xml:space="preserve">Expenses for Hylton Performing Arts Center comprise of administration, development, marketing, production, building, </w:t>
      </w:r>
      <w:r w:rsidR="00764141" w:rsidRPr="00BE4C34">
        <w:rPr>
          <w:rFonts w:cs="Times New Roman"/>
          <w:szCs w:val="24"/>
        </w:rPr>
        <w:t>and George</w:t>
      </w:r>
      <w:r w:rsidRPr="00BE4C34">
        <w:rPr>
          <w:rFonts w:cs="Times New Roman"/>
          <w:szCs w:val="24"/>
        </w:rPr>
        <w:t xml:space="preserve"> Mason University debt service support and debt service.</w:t>
      </w:r>
      <w:r w:rsidR="002D357C" w:rsidRPr="00BE4C34">
        <w:rPr>
          <w:rFonts w:cs="Times New Roman"/>
          <w:szCs w:val="24"/>
        </w:rPr>
        <w:t xml:space="preserve"> To start with, Hylton Performing Arts Center administrative expense were 65,465, 96,202,127,003, 105,563, 118106, 111598, 109,795 and 97,611 in 2010, 2011, 2012, 2013, 2014, 2015 ,2016 and 2017 in that order</w:t>
      </w:r>
      <w:r w:rsidR="00906955">
        <w:rPr>
          <w:rStyle w:val="FootnoteReference"/>
          <w:rFonts w:cs="Times New Roman"/>
          <w:szCs w:val="24"/>
        </w:rPr>
        <w:footnoteReference w:id="5"/>
      </w:r>
      <w:r w:rsidR="002D357C" w:rsidRPr="00BE4C34">
        <w:rPr>
          <w:rFonts w:cs="Times New Roman"/>
          <w:szCs w:val="24"/>
        </w:rPr>
        <w:t>.</w:t>
      </w:r>
      <w:r w:rsidR="009F153F" w:rsidRPr="00BE4C34">
        <w:rPr>
          <w:rFonts w:cs="Times New Roman"/>
          <w:szCs w:val="24"/>
        </w:rPr>
        <w:t xml:space="preserve"> From the above figures it is clear that administrative expense were at the pick in the year 2012 and lowest in the year 2010. The reason for the increase in the administration expense from 2010 onwards is that the institution was expanding and it needed more personnel to </w:t>
      </w:r>
      <w:r w:rsidR="003F1B55" w:rsidRPr="00BE4C34">
        <w:rPr>
          <w:rFonts w:cs="Times New Roman"/>
          <w:szCs w:val="24"/>
        </w:rPr>
        <w:t>supervise</w:t>
      </w:r>
      <w:r w:rsidR="009F153F" w:rsidRPr="00BE4C34">
        <w:rPr>
          <w:rFonts w:cs="Times New Roman"/>
          <w:szCs w:val="24"/>
        </w:rPr>
        <w:t xml:space="preserve"> the operations in the institution. </w:t>
      </w:r>
    </w:p>
    <w:p w:rsidR="003F1B55" w:rsidRPr="00BE4C34" w:rsidRDefault="003F1B55" w:rsidP="00BC13F1">
      <w:pPr>
        <w:spacing w:line="480" w:lineRule="auto"/>
        <w:ind w:firstLine="708"/>
        <w:rPr>
          <w:rFonts w:cs="Times New Roman"/>
          <w:szCs w:val="24"/>
        </w:rPr>
      </w:pPr>
      <w:r w:rsidRPr="00BE4C34">
        <w:rPr>
          <w:rFonts w:cs="Times New Roman"/>
          <w:szCs w:val="24"/>
        </w:rPr>
        <w:t>On the development expense, Hylton Performing Arts Center has the highest expense in 2010 which stood at 449,973 and lowest in 2012 at 239,666. The reason behind increase in development expense in 2010 was due to necessities that administration underwent to build various structures in the institution</w:t>
      </w:r>
      <w:r w:rsidR="00922157">
        <w:rPr>
          <w:rStyle w:val="FootnoteReference"/>
          <w:rFonts w:cs="Times New Roman"/>
          <w:szCs w:val="24"/>
        </w:rPr>
        <w:footnoteReference w:id="6"/>
      </w:r>
      <w:r w:rsidRPr="00BE4C34">
        <w:rPr>
          <w:rFonts w:cs="Times New Roman"/>
          <w:szCs w:val="24"/>
        </w:rPr>
        <w:t>.</w:t>
      </w:r>
      <w:r w:rsidR="00142CA2" w:rsidRPr="00BE4C34">
        <w:rPr>
          <w:rFonts w:cs="Times New Roman"/>
          <w:szCs w:val="24"/>
        </w:rPr>
        <w:t xml:space="preserve"> On the marketing expense, Hylton Performing Arts Center had a massive marketing expense in 2017 which stood at 443,695 and lowest in 2010 at 80,544</w:t>
      </w:r>
      <w:r w:rsidR="00AC15A0" w:rsidRPr="00BE4C34">
        <w:rPr>
          <w:rFonts w:cs="Times New Roman"/>
          <w:szCs w:val="24"/>
        </w:rPr>
        <w:t xml:space="preserve">. This huge marketing expense in 2017 could be as a result of stiff </w:t>
      </w:r>
      <w:r w:rsidR="00D61ADF" w:rsidRPr="00BE4C34">
        <w:rPr>
          <w:rFonts w:cs="Times New Roman"/>
          <w:szCs w:val="24"/>
        </w:rPr>
        <w:t>comp</w:t>
      </w:r>
      <w:r w:rsidR="00AC15A0" w:rsidRPr="00BE4C34">
        <w:rPr>
          <w:rFonts w:cs="Times New Roman"/>
          <w:szCs w:val="24"/>
        </w:rPr>
        <w:t>eti</w:t>
      </w:r>
      <w:r w:rsidR="00D61ADF" w:rsidRPr="00BE4C34">
        <w:rPr>
          <w:rFonts w:cs="Times New Roman"/>
          <w:szCs w:val="24"/>
        </w:rPr>
        <w:t>ti</w:t>
      </w:r>
      <w:r w:rsidR="00AC15A0" w:rsidRPr="00BE4C34">
        <w:rPr>
          <w:rFonts w:cs="Times New Roman"/>
          <w:szCs w:val="24"/>
        </w:rPr>
        <w:t>on from the rival institutions tha</w:t>
      </w:r>
      <w:r w:rsidR="00D61ADF" w:rsidRPr="00BE4C34">
        <w:rPr>
          <w:rFonts w:cs="Times New Roman"/>
          <w:szCs w:val="24"/>
        </w:rPr>
        <w:t xml:space="preserve">t provides the same </w:t>
      </w:r>
      <w:r w:rsidR="00F24405" w:rsidRPr="00BE4C34">
        <w:rPr>
          <w:rFonts w:cs="Times New Roman"/>
          <w:szCs w:val="24"/>
        </w:rPr>
        <w:t>services as</w:t>
      </w:r>
      <w:r w:rsidR="00D61ADF" w:rsidRPr="00BE4C34">
        <w:rPr>
          <w:rFonts w:cs="Times New Roman"/>
          <w:szCs w:val="24"/>
        </w:rPr>
        <w:t xml:space="preserve"> for </w:t>
      </w:r>
      <w:r w:rsidR="00AC15A0" w:rsidRPr="00BE4C34">
        <w:rPr>
          <w:rFonts w:cs="Times New Roman"/>
          <w:szCs w:val="24"/>
        </w:rPr>
        <w:t xml:space="preserve">Hylton Performing Arts Center. The managers in this institution made more marketing promotion in order to stay in the market environment which translated to this huge marketing expense.  </w:t>
      </w:r>
      <w:r w:rsidRPr="00BE4C34">
        <w:rPr>
          <w:rFonts w:cs="Times New Roman"/>
          <w:szCs w:val="24"/>
        </w:rPr>
        <w:t xml:space="preserve">  </w:t>
      </w:r>
    </w:p>
    <w:p w:rsidR="000539A0" w:rsidRPr="00BE4C34" w:rsidRDefault="00225A59" w:rsidP="00BC13F1">
      <w:pPr>
        <w:spacing w:line="480" w:lineRule="auto"/>
        <w:ind w:firstLine="708"/>
        <w:rPr>
          <w:rFonts w:cs="Times New Roman"/>
          <w:szCs w:val="24"/>
        </w:rPr>
      </w:pPr>
      <w:r w:rsidRPr="00BE4C34">
        <w:rPr>
          <w:rFonts w:cs="Times New Roman"/>
          <w:szCs w:val="24"/>
        </w:rPr>
        <w:t xml:space="preserve">Generally the production expenses for Hylton Performing Arts Center rose all through 2010 to 2017. 2010 financial year recorded the lowest production cost which stood at 160178 while in 2017 the productions were at the peak which stood at 1569789. This immense </w:t>
      </w:r>
      <w:r w:rsidRPr="00BE4C34">
        <w:rPr>
          <w:rFonts w:cs="Times New Roman"/>
          <w:szCs w:val="24"/>
        </w:rPr>
        <w:lastRenderedPageBreak/>
        <w:t>increase in production expense could be as a result of expansion and growth of the institution which at present is service voluminous of its clients unlike in 2010.</w:t>
      </w:r>
    </w:p>
    <w:p w:rsidR="00883DD3" w:rsidRPr="00BE4C34" w:rsidRDefault="00883DD3" w:rsidP="00BC13F1">
      <w:pPr>
        <w:spacing w:line="480" w:lineRule="auto"/>
        <w:ind w:firstLine="708"/>
        <w:rPr>
          <w:rFonts w:cs="Times New Roman"/>
          <w:szCs w:val="24"/>
        </w:rPr>
      </w:pPr>
      <w:r w:rsidRPr="00BE4C34">
        <w:rPr>
          <w:rFonts w:cs="Times New Roman"/>
          <w:szCs w:val="24"/>
        </w:rPr>
        <w:t>`</w:t>
      </w:r>
      <w:r w:rsidR="000B4A52" w:rsidRPr="00BE4C34">
        <w:rPr>
          <w:rFonts w:cs="Times New Roman"/>
          <w:szCs w:val="24"/>
        </w:rPr>
        <w:t>On</w:t>
      </w:r>
      <w:r w:rsidRPr="00BE4C34">
        <w:rPr>
          <w:rFonts w:cs="Times New Roman"/>
          <w:szCs w:val="24"/>
        </w:rPr>
        <w:t xml:space="preserve"> the building expenses, </w:t>
      </w:r>
      <w:r w:rsidR="000B4A52" w:rsidRPr="00BE4C34">
        <w:rPr>
          <w:rFonts w:cs="Times New Roman"/>
          <w:szCs w:val="24"/>
        </w:rPr>
        <w:t>Hylton Performing Arts Center had the most expense in 2017 and was lowest in 2010. As Hylton Performing Arts Center expanded, it required more facilities to accommodate the large volume of assets purchased in the institution. George Mason University debt service support expenses increased gradually all through the years from 2010 to 2017. This increment is as a result of increase in the number of students. It can be observed that in 2017</w:t>
      </w:r>
      <w:r w:rsidR="00113CA6" w:rsidRPr="00BE4C34">
        <w:rPr>
          <w:rFonts w:cs="Times New Roman"/>
          <w:szCs w:val="24"/>
        </w:rPr>
        <w:t>, more student were supported by</w:t>
      </w:r>
      <w:r w:rsidR="000B4A52" w:rsidRPr="00BE4C34">
        <w:rPr>
          <w:rFonts w:cs="Times New Roman"/>
          <w:szCs w:val="24"/>
        </w:rPr>
        <w:t xml:space="preserve"> the university hence the increase in this particular cost</w:t>
      </w:r>
      <w:r w:rsidR="00922157">
        <w:rPr>
          <w:rStyle w:val="FootnoteReference"/>
          <w:rFonts w:cs="Times New Roman"/>
          <w:szCs w:val="24"/>
        </w:rPr>
        <w:footnoteReference w:id="7"/>
      </w:r>
      <w:r w:rsidR="000B4A52" w:rsidRPr="00BE4C34">
        <w:rPr>
          <w:rFonts w:cs="Times New Roman"/>
          <w:szCs w:val="24"/>
        </w:rPr>
        <w:t>.</w:t>
      </w:r>
      <w:r w:rsidR="003851C6" w:rsidRPr="00BE4C34">
        <w:rPr>
          <w:rFonts w:cs="Times New Roman"/>
          <w:szCs w:val="24"/>
        </w:rPr>
        <w:t xml:space="preserve"> </w:t>
      </w:r>
      <w:r w:rsidR="00696CE5" w:rsidRPr="00BE4C34">
        <w:rPr>
          <w:rFonts w:cs="Times New Roman"/>
          <w:szCs w:val="24"/>
        </w:rPr>
        <w:t>Finally</w:t>
      </w:r>
      <w:r w:rsidR="003851C6" w:rsidRPr="00BE4C34">
        <w:rPr>
          <w:rFonts w:cs="Times New Roman"/>
          <w:szCs w:val="24"/>
        </w:rPr>
        <w:t xml:space="preserve"> is about the debt service expense.</w:t>
      </w:r>
      <w:r w:rsidR="000B4A52" w:rsidRPr="00BE4C34">
        <w:rPr>
          <w:rFonts w:cs="Times New Roman"/>
          <w:szCs w:val="24"/>
        </w:rPr>
        <w:t xml:space="preserve"> </w:t>
      </w:r>
      <w:r w:rsidR="000115AE" w:rsidRPr="00BE4C34">
        <w:rPr>
          <w:rFonts w:cs="Times New Roman"/>
          <w:szCs w:val="24"/>
        </w:rPr>
        <w:t xml:space="preserve"> This expense increased from 1274035 in 2010 to 3189144 in 2014. Thereafter,</w:t>
      </w:r>
      <w:r w:rsidR="0012746E" w:rsidRPr="00BE4C34">
        <w:rPr>
          <w:rFonts w:cs="Times New Roman"/>
          <w:szCs w:val="24"/>
        </w:rPr>
        <w:t xml:space="preserve"> the tre</w:t>
      </w:r>
      <w:r w:rsidR="000115AE" w:rsidRPr="00BE4C34">
        <w:rPr>
          <w:rFonts w:cs="Times New Roman"/>
          <w:szCs w:val="24"/>
        </w:rPr>
        <w:t xml:space="preserve">nd has been fluctuating up to 2017. </w:t>
      </w:r>
      <w:r w:rsidR="006776B7" w:rsidRPr="00BE4C34">
        <w:rPr>
          <w:rFonts w:cs="Times New Roman"/>
          <w:szCs w:val="24"/>
        </w:rPr>
        <w:t xml:space="preserve">This trend signifies that Hylton Performing Arts </w:t>
      </w:r>
      <w:r w:rsidR="00911CC3" w:rsidRPr="00BE4C34">
        <w:rPr>
          <w:rFonts w:cs="Times New Roman"/>
          <w:szCs w:val="24"/>
        </w:rPr>
        <w:t>Center used</w:t>
      </w:r>
      <w:r w:rsidR="00A437AC" w:rsidRPr="00BE4C34">
        <w:rPr>
          <w:rFonts w:cs="Times New Roman"/>
          <w:szCs w:val="24"/>
        </w:rPr>
        <w:t xml:space="preserve"> more debt in 2014 to facilitate its projects as compared to 2010</w:t>
      </w:r>
      <w:r w:rsidR="00922157">
        <w:rPr>
          <w:rStyle w:val="FootnoteReference"/>
          <w:rFonts w:cs="Times New Roman"/>
          <w:szCs w:val="24"/>
        </w:rPr>
        <w:footnoteReference w:id="8"/>
      </w:r>
      <w:r w:rsidR="00A437AC" w:rsidRPr="00BE4C34">
        <w:rPr>
          <w:rFonts w:cs="Times New Roman"/>
          <w:szCs w:val="24"/>
        </w:rPr>
        <w:t>.</w:t>
      </w:r>
      <w:r w:rsidR="00911CC3" w:rsidRPr="00BE4C34">
        <w:rPr>
          <w:rFonts w:cs="Times New Roman"/>
          <w:szCs w:val="24"/>
        </w:rPr>
        <w:t xml:space="preserve"> To wind up on expenses we can conclude that 2017 financial year experienced more </w:t>
      </w:r>
      <w:r w:rsidR="009D0E8E" w:rsidRPr="00BE4C34">
        <w:rPr>
          <w:rFonts w:cs="Times New Roman"/>
          <w:szCs w:val="24"/>
        </w:rPr>
        <w:t>expenses which</w:t>
      </w:r>
      <w:r w:rsidR="00911CC3" w:rsidRPr="00BE4C34">
        <w:rPr>
          <w:rFonts w:cs="Times New Roman"/>
          <w:szCs w:val="24"/>
        </w:rPr>
        <w:t xml:space="preserve"> stood at 6394219 and lowest at 2458888 in 2010.</w:t>
      </w:r>
    </w:p>
    <w:p w:rsidR="00E30F0D" w:rsidRPr="00BE4C34" w:rsidRDefault="00E30F0D" w:rsidP="00BC13F1">
      <w:pPr>
        <w:spacing w:line="480" w:lineRule="auto"/>
        <w:ind w:firstLine="708"/>
        <w:rPr>
          <w:rFonts w:cs="Times New Roman"/>
          <w:szCs w:val="24"/>
        </w:rPr>
      </w:pPr>
      <w:r w:rsidRPr="00BE4C34">
        <w:rPr>
          <w:rFonts w:cs="Times New Roman"/>
          <w:szCs w:val="24"/>
        </w:rPr>
        <w:t>All through the years, Hylton Performing Arts Center has recorded losses in income collection. For instance, the institution had a loss of</w:t>
      </w:r>
      <w:r w:rsidR="00797EB7" w:rsidRPr="00BE4C34">
        <w:rPr>
          <w:rFonts w:cs="Times New Roman"/>
          <w:szCs w:val="24"/>
        </w:rPr>
        <w:t xml:space="preserve"> 337670 in 2010, 652,136 in 2011, 374451 in 2012, 475320 in 2013, 704016 in 2014, 461055 in 2015, </w:t>
      </w:r>
      <w:r w:rsidRPr="00BE4C34">
        <w:rPr>
          <w:rFonts w:cs="Times New Roman"/>
          <w:szCs w:val="24"/>
        </w:rPr>
        <w:t>264292 in 2016 and finally 144816 in 2017</w:t>
      </w:r>
      <w:r w:rsidR="00797EB7" w:rsidRPr="00BE4C34">
        <w:rPr>
          <w:rFonts w:cs="Times New Roman"/>
          <w:szCs w:val="24"/>
        </w:rPr>
        <w:t>.</w:t>
      </w:r>
      <w:r w:rsidR="00DA39EE" w:rsidRPr="00BE4C34">
        <w:rPr>
          <w:rFonts w:cs="Times New Roman"/>
          <w:szCs w:val="24"/>
        </w:rPr>
        <w:t xml:space="preserve"> Generally</w:t>
      </w:r>
      <w:r w:rsidR="004001DD" w:rsidRPr="00BE4C34">
        <w:rPr>
          <w:rFonts w:cs="Times New Roman"/>
          <w:szCs w:val="24"/>
        </w:rPr>
        <w:t>,</w:t>
      </w:r>
      <w:r w:rsidR="00DA39EE" w:rsidRPr="00BE4C34">
        <w:rPr>
          <w:rFonts w:cs="Times New Roman"/>
          <w:szCs w:val="24"/>
        </w:rPr>
        <w:t xml:space="preserve"> </w:t>
      </w:r>
      <w:r w:rsidR="002220D3" w:rsidRPr="00BE4C34">
        <w:rPr>
          <w:rFonts w:cs="Times New Roman"/>
          <w:szCs w:val="24"/>
        </w:rPr>
        <w:t>huge</w:t>
      </w:r>
      <w:r w:rsidR="00DA39EE" w:rsidRPr="00BE4C34">
        <w:rPr>
          <w:rFonts w:cs="Times New Roman"/>
          <w:szCs w:val="24"/>
        </w:rPr>
        <w:t xml:space="preserve"> losses were incurred between 2011 and 2015.</w:t>
      </w:r>
    </w:p>
    <w:p w:rsidR="00A337FF" w:rsidRPr="00BE4C34" w:rsidRDefault="009F304A" w:rsidP="00BC13F1">
      <w:pPr>
        <w:spacing w:line="480" w:lineRule="auto"/>
        <w:ind w:firstLine="708"/>
        <w:rPr>
          <w:rFonts w:cs="Times New Roman"/>
          <w:szCs w:val="24"/>
        </w:rPr>
      </w:pPr>
      <w:r w:rsidRPr="00BE4C34">
        <w:rPr>
          <w:rFonts w:cs="Times New Roman"/>
          <w:szCs w:val="24"/>
        </w:rPr>
        <w:t>Hylton Performing Arts Center sources of capital include income from Prince William County, transfers to reserves</w:t>
      </w:r>
      <w:r w:rsidR="00AD7082" w:rsidRPr="00BE4C34">
        <w:rPr>
          <w:rFonts w:cs="Times New Roman"/>
          <w:szCs w:val="24"/>
        </w:rPr>
        <w:t>, beginning balances</w:t>
      </w:r>
      <w:r w:rsidRPr="00BE4C34">
        <w:rPr>
          <w:rFonts w:cs="Times New Roman"/>
          <w:szCs w:val="24"/>
        </w:rPr>
        <w:t xml:space="preserve"> and contributions.</w:t>
      </w:r>
      <w:r w:rsidR="00AD7082" w:rsidRPr="00BE4C34">
        <w:rPr>
          <w:rFonts w:cs="Times New Roman"/>
          <w:szCs w:val="24"/>
        </w:rPr>
        <w:t xml:space="preserve"> For instance, Hylton Performing Arts Center had the beginning balances of 4715172 in 2010</w:t>
      </w:r>
      <w:r w:rsidR="00C441DC" w:rsidRPr="00BE4C34">
        <w:rPr>
          <w:rFonts w:cs="Times New Roman"/>
          <w:szCs w:val="24"/>
        </w:rPr>
        <w:t>, 3403585 in 2011</w:t>
      </w:r>
      <w:r w:rsidR="00AD7082" w:rsidRPr="00BE4C34">
        <w:rPr>
          <w:rFonts w:cs="Times New Roman"/>
          <w:szCs w:val="24"/>
        </w:rPr>
        <w:t xml:space="preserve">, </w:t>
      </w:r>
      <w:r w:rsidR="00AD7082" w:rsidRPr="00BE4C34">
        <w:rPr>
          <w:rFonts w:cs="Times New Roman"/>
          <w:szCs w:val="24"/>
        </w:rPr>
        <w:lastRenderedPageBreak/>
        <w:t>2854791</w:t>
      </w:r>
      <w:r w:rsidR="00C441DC" w:rsidRPr="00BE4C34">
        <w:rPr>
          <w:rFonts w:cs="Times New Roman"/>
          <w:szCs w:val="24"/>
        </w:rPr>
        <w:t xml:space="preserve"> in 2012</w:t>
      </w:r>
      <w:r w:rsidR="00AD7082" w:rsidRPr="00BE4C34">
        <w:rPr>
          <w:rFonts w:cs="Times New Roman"/>
          <w:szCs w:val="24"/>
        </w:rPr>
        <w:t>, 120972</w:t>
      </w:r>
      <w:r w:rsidR="00C441DC" w:rsidRPr="00BE4C34">
        <w:rPr>
          <w:rFonts w:cs="Times New Roman"/>
          <w:szCs w:val="24"/>
        </w:rPr>
        <w:t>0 in 2013, 1233906 in 2014, 3852369 in 2015 and 2788,722 in 2016</w:t>
      </w:r>
      <w:r w:rsidR="00AD7082" w:rsidRPr="00BE4C34">
        <w:rPr>
          <w:rFonts w:cs="Times New Roman"/>
          <w:szCs w:val="24"/>
        </w:rPr>
        <w:t xml:space="preserve"> and 1840759 in 2017.</w:t>
      </w:r>
    </w:p>
    <w:p w:rsidR="00732E3B" w:rsidRPr="00BE4C34" w:rsidRDefault="00013E5A" w:rsidP="00BC13F1">
      <w:pPr>
        <w:spacing w:line="480" w:lineRule="auto"/>
        <w:ind w:firstLine="708"/>
        <w:rPr>
          <w:rFonts w:cs="Times New Roman"/>
          <w:szCs w:val="24"/>
        </w:rPr>
      </w:pPr>
      <w:r w:rsidRPr="00BE4C34">
        <w:rPr>
          <w:rFonts w:cs="Times New Roman"/>
          <w:szCs w:val="24"/>
        </w:rPr>
        <w:t xml:space="preserve"> Moreover, cash contributes to the total income for Hylton Performing Arts Center. For instance, cash as par the endowment balances were 1284568 in 2010, 1534096 in </w:t>
      </w:r>
      <w:r w:rsidR="006A212C" w:rsidRPr="00BE4C34">
        <w:rPr>
          <w:rFonts w:cs="Times New Roman"/>
          <w:szCs w:val="24"/>
        </w:rPr>
        <w:t>2011, 1790418 in 2012</w:t>
      </w:r>
      <w:r w:rsidRPr="00BE4C34">
        <w:rPr>
          <w:rFonts w:cs="Times New Roman"/>
          <w:szCs w:val="24"/>
        </w:rPr>
        <w:t xml:space="preserve">, 1876881 </w:t>
      </w:r>
      <w:r w:rsidR="006A212C" w:rsidRPr="00BE4C34">
        <w:rPr>
          <w:rFonts w:cs="Times New Roman"/>
          <w:szCs w:val="24"/>
        </w:rPr>
        <w:t>in 2013, 3982164 in 2014, 4447614 in 2015</w:t>
      </w:r>
      <w:r w:rsidRPr="00BE4C34">
        <w:rPr>
          <w:rFonts w:cs="Times New Roman"/>
          <w:szCs w:val="24"/>
        </w:rPr>
        <w:t>, 4413439 in 2016 and 5896931 in 2017.</w:t>
      </w:r>
      <w:r w:rsidR="001F1B8B" w:rsidRPr="00BE4C34">
        <w:rPr>
          <w:rFonts w:cs="Times New Roman"/>
          <w:szCs w:val="24"/>
        </w:rPr>
        <w:t xml:space="preserve"> From this figures it is clear that cash was high in 2017 in comparison to the other year.</w:t>
      </w:r>
      <w:r w:rsidR="009E61EA" w:rsidRPr="00BE4C34">
        <w:rPr>
          <w:rFonts w:cs="Times New Roman"/>
          <w:szCs w:val="24"/>
        </w:rPr>
        <w:t xml:space="preserve"> Moreover, Hylton Performing Arts Center financials also indicates that it remains mostly reliant on financial aid from the University for its Day to Day Operating </w:t>
      </w:r>
      <w:r w:rsidR="000C5464" w:rsidRPr="00BE4C34">
        <w:rPr>
          <w:rFonts w:cs="Times New Roman"/>
          <w:szCs w:val="24"/>
        </w:rPr>
        <w:t>Expenses and</w:t>
      </w:r>
      <w:r w:rsidR="009E61EA" w:rsidRPr="00BE4C34">
        <w:rPr>
          <w:rFonts w:cs="Times New Roman"/>
          <w:szCs w:val="24"/>
        </w:rPr>
        <w:t xml:space="preserve"> on cash </w:t>
      </w:r>
      <w:r w:rsidR="000C5464" w:rsidRPr="00BE4C34">
        <w:rPr>
          <w:rFonts w:cs="Times New Roman"/>
          <w:szCs w:val="24"/>
        </w:rPr>
        <w:t>from the county to offset construction</w:t>
      </w:r>
      <w:r w:rsidR="009E61EA" w:rsidRPr="00BE4C34">
        <w:rPr>
          <w:rFonts w:cs="Times New Roman"/>
          <w:szCs w:val="24"/>
        </w:rPr>
        <w:t xml:space="preserve"> </w:t>
      </w:r>
      <w:r w:rsidR="000C5464" w:rsidRPr="00BE4C34">
        <w:rPr>
          <w:rFonts w:cs="Times New Roman"/>
          <w:szCs w:val="24"/>
        </w:rPr>
        <w:t>obligations</w:t>
      </w:r>
      <w:r w:rsidR="00922157">
        <w:rPr>
          <w:rStyle w:val="FootnoteReference"/>
          <w:rFonts w:cs="Times New Roman"/>
          <w:szCs w:val="24"/>
        </w:rPr>
        <w:footnoteReference w:id="9"/>
      </w:r>
      <w:r w:rsidR="009E61EA" w:rsidRPr="00BE4C34">
        <w:rPr>
          <w:rFonts w:cs="Times New Roman"/>
          <w:szCs w:val="24"/>
        </w:rPr>
        <w:t>.</w:t>
      </w:r>
      <w:r w:rsidR="00A337FF" w:rsidRPr="00BE4C34">
        <w:rPr>
          <w:rFonts w:cs="Times New Roman"/>
          <w:szCs w:val="24"/>
        </w:rPr>
        <w:t xml:space="preserve"> Also the center finances are more strengthened because it has constantly received more funds from George Mason University through student charges</w:t>
      </w:r>
      <w:r w:rsidR="00184771" w:rsidRPr="00BE4C34">
        <w:rPr>
          <w:rFonts w:cs="Times New Roman"/>
          <w:szCs w:val="24"/>
        </w:rPr>
        <w:t>. This was as a result of the college attracting huge numbers of students and huge number of individual using the centre.</w:t>
      </w:r>
    </w:p>
    <w:p w:rsidR="00B07F0C" w:rsidRPr="00BE4C34" w:rsidRDefault="001F1B8B" w:rsidP="00BC13F1">
      <w:pPr>
        <w:spacing w:line="480" w:lineRule="auto"/>
        <w:ind w:firstLine="708"/>
        <w:rPr>
          <w:rFonts w:cs="Times New Roman"/>
          <w:szCs w:val="24"/>
        </w:rPr>
      </w:pPr>
      <w:r w:rsidRPr="00BE4C34">
        <w:rPr>
          <w:rFonts w:cs="Times New Roman"/>
          <w:szCs w:val="24"/>
        </w:rPr>
        <w:t xml:space="preserve">Moreover, Hylton Performing Arts Center assets include the cash. </w:t>
      </w:r>
      <w:r w:rsidR="00E54183" w:rsidRPr="00BE4C34">
        <w:rPr>
          <w:rFonts w:cs="Times New Roman"/>
          <w:szCs w:val="24"/>
        </w:rPr>
        <w:t xml:space="preserve"> The liquidity of a company is usually determined by its cash.</w:t>
      </w:r>
      <w:r w:rsidR="000253E1" w:rsidRPr="00BE4C34">
        <w:rPr>
          <w:rFonts w:cs="Times New Roman"/>
          <w:szCs w:val="24"/>
        </w:rPr>
        <w:t xml:space="preserve"> Hylton Performing Arts Center cash was highest in 2014 while in 2010 it recorded the least cash</w:t>
      </w:r>
      <w:r w:rsidR="00922157">
        <w:rPr>
          <w:rStyle w:val="FootnoteReference"/>
          <w:rFonts w:cs="Times New Roman"/>
          <w:szCs w:val="24"/>
        </w:rPr>
        <w:footnoteReference w:id="10"/>
      </w:r>
      <w:r w:rsidR="000253E1" w:rsidRPr="00BE4C34">
        <w:rPr>
          <w:rFonts w:cs="Times New Roman"/>
          <w:szCs w:val="24"/>
        </w:rPr>
        <w:t xml:space="preserve">. This means that the institution faced problems of settling its short term daily expenses in 2012 when Hylton Performing Arts Center was started. On the other hand, the institution </w:t>
      </w:r>
      <w:r w:rsidR="00F01A5A" w:rsidRPr="00BE4C34">
        <w:rPr>
          <w:rFonts w:cs="Times New Roman"/>
          <w:szCs w:val="24"/>
        </w:rPr>
        <w:t>didn’t have</w:t>
      </w:r>
      <w:r w:rsidR="000253E1" w:rsidRPr="00BE4C34">
        <w:rPr>
          <w:rFonts w:cs="Times New Roman"/>
          <w:szCs w:val="24"/>
        </w:rPr>
        <w:t xml:space="preserve"> much problem in paying out its short-term obligations in 2014.</w:t>
      </w:r>
      <w:r w:rsidR="003A23A1" w:rsidRPr="00BE4C34">
        <w:rPr>
          <w:rFonts w:cs="Times New Roman"/>
          <w:szCs w:val="24"/>
        </w:rPr>
        <w:t xml:space="preserve"> When we look at the total balances in endowment balances, 2017 financial year recorded the biggest balance while 2010 had the least balance.</w:t>
      </w:r>
    </w:p>
    <w:p w:rsidR="001F1B8B" w:rsidRPr="00BE4C34" w:rsidRDefault="00B07F0C" w:rsidP="00BC13F1">
      <w:pPr>
        <w:spacing w:line="480" w:lineRule="auto"/>
        <w:ind w:firstLine="706"/>
        <w:rPr>
          <w:rFonts w:cs="Times New Roman"/>
          <w:szCs w:val="24"/>
        </w:rPr>
      </w:pPr>
      <w:r w:rsidRPr="00BE4C34">
        <w:rPr>
          <w:rFonts w:cs="Times New Roman"/>
          <w:szCs w:val="24"/>
        </w:rPr>
        <w:lastRenderedPageBreak/>
        <w:t>To conclude, we can say that Hylton Performing Arts Center had some difficulties</w:t>
      </w:r>
      <w:r w:rsidR="004C268F" w:rsidRPr="00BE4C34">
        <w:rPr>
          <w:rFonts w:cs="Times New Roman"/>
          <w:szCs w:val="24"/>
        </w:rPr>
        <w:t xml:space="preserve"> in terms of capital, manpower and student turnout when</w:t>
      </w:r>
      <w:r w:rsidRPr="00BE4C34">
        <w:rPr>
          <w:rFonts w:cs="Times New Roman"/>
          <w:szCs w:val="24"/>
        </w:rPr>
        <w:t xml:space="preserve"> it started in 2010.</w:t>
      </w:r>
      <w:r w:rsidR="004C268F" w:rsidRPr="00BE4C34">
        <w:rPr>
          <w:rFonts w:cs="Times New Roman"/>
          <w:szCs w:val="24"/>
        </w:rPr>
        <w:t xml:space="preserve"> But as from 2011, the institution started to expand and turnout of stakeholders increased which contributed to less expense and contributed to more of the capital in the firm.</w:t>
      </w:r>
      <w:r w:rsidR="003A23A1" w:rsidRPr="00BE4C34">
        <w:rPr>
          <w:rFonts w:cs="Times New Roman"/>
          <w:szCs w:val="24"/>
        </w:rPr>
        <w:t xml:space="preserve"> </w:t>
      </w:r>
    </w:p>
    <w:p w:rsidR="00BC13F1" w:rsidRDefault="00BC13F1" w:rsidP="00BE4C34">
      <w:pPr>
        <w:spacing w:line="480" w:lineRule="auto"/>
        <w:ind w:left="706" w:hanging="706"/>
        <w:rPr>
          <w:rStyle w:val="selectable"/>
          <w:rFonts w:cs="Times New Roman"/>
          <w:szCs w:val="24"/>
        </w:rPr>
      </w:pPr>
    </w:p>
    <w:p w:rsidR="00BC13F1" w:rsidRDefault="00BC13F1" w:rsidP="00BE4C34">
      <w:pPr>
        <w:spacing w:line="480" w:lineRule="auto"/>
        <w:ind w:left="706" w:hanging="706"/>
        <w:rPr>
          <w:rStyle w:val="selectable"/>
          <w:rFonts w:cs="Times New Roman"/>
          <w:szCs w:val="24"/>
        </w:rPr>
      </w:pPr>
    </w:p>
    <w:p w:rsidR="00BC13F1" w:rsidRDefault="00BC13F1" w:rsidP="00BE4C34">
      <w:pPr>
        <w:spacing w:line="480" w:lineRule="auto"/>
        <w:ind w:left="706" w:hanging="706"/>
        <w:rPr>
          <w:rStyle w:val="selectable"/>
          <w:rFonts w:cs="Times New Roman"/>
          <w:szCs w:val="24"/>
        </w:rPr>
      </w:pPr>
    </w:p>
    <w:p w:rsidR="00BC13F1" w:rsidRDefault="00BC13F1" w:rsidP="00BE4C34">
      <w:pPr>
        <w:spacing w:line="480" w:lineRule="auto"/>
        <w:ind w:left="706" w:hanging="706"/>
        <w:rPr>
          <w:rStyle w:val="selectable"/>
          <w:rFonts w:cs="Times New Roman"/>
          <w:szCs w:val="24"/>
        </w:rPr>
      </w:pPr>
    </w:p>
    <w:p w:rsidR="00BC13F1" w:rsidRDefault="00BC13F1" w:rsidP="00BE4C34">
      <w:pPr>
        <w:spacing w:line="480" w:lineRule="auto"/>
        <w:ind w:left="706" w:hanging="706"/>
        <w:rPr>
          <w:rStyle w:val="selectable"/>
          <w:rFonts w:cs="Times New Roman"/>
          <w:szCs w:val="24"/>
        </w:rPr>
      </w:pPr>
    </w:p>
    <w:p w:rsidR="00BC13F1" w:rsidRDefault="00BC13F1" w:rsidP="00BE4C34">
      <w:pPr>
        <w:spacing w:line="480" w:lineRule="auto"/>
        <w:ind w:left="706" w:hanging="706"/>
        <w:rPr>
          <w:rStyle w:val="selectable"/>
          <w:rFonts w:cs="Times New Roman"/>
          <w:szCs w:val="24"/>
        </w:rPr>
      </w:pPr>
    </w:p>
    <w:p w:rsidR="00BC13F1" w:rsidRDefault="00BC13F1" w:rsidP="00BE4C34">
      <w:pPr>
        <w:spacing w:line="480" w:lineRule="auto"/>
        <w:ind w:left="706" w:hanging="706"/>
        <w:rPr>
          <w:rStyle w:val="selectable"/>
          <w:rFonts w:cs="Times New Roman"/>
          <w:szCs w:val="24"/>
        </w:rPr>
      </w:pPr>
    </w:p>
    <w:p w:rsidR="00BC13F1" w:rsidRDefault="00BC13F1" w:rsidP="00BE4C34">
      <w:pPr>
        <w:spacing w:line="480" w:lineRule="auto"/>
        <w:ind w:left="706" w:hanging="706"/>
        <w:rPr>
          <w:rStyle w:val="selectable"/>
          <w:rFonts w:cs="Times New Roman"/>
          <w:szCs w:val="24"/>
        </w:rPr>
      </w:pPr>
    </w:p>
    <w:p w:rsidR="00BC13F1" w:rsidRDefault="00BC13F1" w:rsidP="00BE4C34">
      <w:pPr>
        <w:spacing w:line="480" w:lineRule="auto"/>
        <w:ind w:left="706" w:hanging="706"/>
        <w:rPr>
          <w:rStyle w:val="selectable"/>
          <w:rFonts w:cs="Times New Roman"/>
          <w:szCs w:val="24"/>
        </w:rPr>
      </w:pPr>
    </w:p>
    <w:p w:rsidR="00BC13F1" w:rsidRDefault="00BC13F1" w:rsidP="00390805">
      <w:pPr>
        <w:spacing w:line="480" w:lineRule="auto"/>
        <w:rPr>
          <w:rStyle w:val="selectable"/>
          <w:rFonts w:cs="Times New Roman"/>
          <w:szCs w:val="24"/>
        </w:rPr>
      </w:pPr>
    </w:p>
    <w:p w:rsidR="00922157" w:rsidRDefault="00922157" w:rsidP="00390805">
      <w:pPr>
        <w:spacing w:line="480" w:lineRule="auto"/>
        <w:rPr>
          <w:rStyle w:val="selectable"/>
          <w:rFonts w:cs="Times New Roman"/>
          <w:szCs w:val="24"/>
        </w:rPr>
      </w:pPr>
    </w:p>
    <w:p w:rsidR="00922157" w:rsidRDefault="00922157" w:rsidP="00390805">
      <w:pPr>
        <w:spacing w:line="480" w:lineRule="auto"/>
        <w:rPr>
          <w:rStyle w:val="selectable"/>
          <w:rFonts w:cs="Times New Roman"/>
          <w:szCs w:val="24"/>
        </w:rPr>
      </w:pPr>
    </w:p>
    <w:p w:rsidR="00922157" w:rsidRDefault="00922157" w:rsidP="00390805">
      <w:pPr>
        <w:spacing w:line="480" w:lineRule="auto"/>
        <w:rPr>
          <w:rStyle w:val="selectable"/>
          <w:rFonts w:cs="Times New Roman"/>
          <w:szCs w:val="24"/>
        </w:rPr>
      </w:pPr>
    </w:p>
    <w:p w:rsidR="00922157" w:rsidRDefault="00922157" w:rsidP="00390805">
      <w:pPr>
        <w:spacing w:line="480" w:lineRule="auto"/>
        <w:rPr>
          <w:rStyle w:val="selectable"/>
          <w:rFonts w:cs="Times New Roman"/>
          <w:szCs w:val="24"/>
        </w:rPr>
      </w:pPr>
    </w:p>
    <w:p w:rsidR="00922157" w:rsidRDefault="00922157" w:rsidP="00390805">
      <w:pPr>
        <w:spacing w:line="480" w:lineRule="auto"/>
        <w:rPr>
          <w:rStyle w:val="selectable"/>
          <w:rFonts w:cs="Times New Roman"/>
          <w:szCs w:val="24"/>
        </w:rPr>
      </w:pPr>
    </w:p>
    <w:p w:rsidR="00922157" w:rsidRDefault="00922157" w:rsidP="00390805">
      <w:pPr>
        <w:spacing w:line="480" w:lineRule="auto"/>
        <w:rPr>
          <w:rStyle w:val="selectable"/>
          <w:rFonts w:cs="Times New Roman"/>
          <w:szCs w:val="24"/>
        </w:rPr>
      </w:pPr>
    </w:p>
    <w:p w:rsidR="001B55D9" w:rsidRDefault="001B55D9" w:rsidP="001B55D9">
      <w:pPr>
        <w:spacing w:line="480" w:lineRule="auto"/>
        <w:ind w:left="706" w:hanging="706"/>
        <w:jc w:val="center"/>
        <w:rPr>
          <w:rStyle w:val="selectable"/>
          <w:rFonts w:cs="Times New Roman"/>
          <w:szCs w:val="24"/>
        </w:rPr>
      </w:pPr>
      <w:r>
        <w:rPr>
          <w:rStyle w:val="selectable"/>
          <w:rFonts w:cs="Times New Roman"/>
          <w:szCs w:val="24"/>
        </w:rPr>
        <w:lastRenderedPageBreak/>
        <w:t>Bibliography</w:t>
      </w:r>
    </w:p>
    <w:p w:rsidR="00F60F45" w:rsidRPr="00F60F45" w:rsidRDefault="00F60F45" w:rsidP="00F60F45">
      <w:pPr>
        <w:spacing w:line="480" w:lineRule="auto"/>
        <w:ind w:left="706" w:hanging="706"/>
        <w:rPr>
          <w:rFonts w:cs="Times New Roman"/>
          <w:color w:val="222222"/>
          <w:szCs w:val="24"/>
          <w:shd w:val="clear" w:color="auto" w:fill="FFFFFF"/>
        </w:rPr>
      </w:pPr>
      <w:r w:rsidRPr="00F60F45">
        <w:rPr>
          <w:rFonts w:cs="Times New Roman"/>
          <w:color w:val="222222"/>
          <w:szCs w:val="24"/>
          <w:shd w:val="clear" w:color="auto" w:fill="FFFFFF"/>
        </w:rPr>
        <w:t>Atrill, Peter, and Eddie McLaney. </w:t>
      </w:r>
      <w:r w:rsidRPr="00F60F45">
        <w:rPr>
          <w:rFonts w:cs="Times New Roman"/>
          <w:i/>
          <w:iCs/>
          <w:color w:val="222222"/>
          <w:szCs w:val="24"/>
          <w:shd w:val="clear" w:color="auto" w:fill="FFFFFF"/>
        </w:rPr>
        <w:t>Management accounting for decision makers</w:t>
      </w:r>
      <w:r w:rsidRPr="00F60F45">
        <w:rPr>
          <w:rFonts w:cs="Times New Roman"/>
          <w:color w:val="222222"/>
          <w:szCs w:val="24"/>
          <w:shd w:val="clear" w:color="auto" w:fill="FFFFFF"/>
        </w:rPr>
        <w:t>. Pearson Education, 2009.</w:t>
      </w:r>
    </w:p>
    <w:p w:rsidR="00F60F45" w:rsidRPr="00F60F45" w:rsidRDefault="00F60F45" w:rsidP="00F60F45">
      <w:pPr>
        <w:spacing w:line="480" w:lineRule="auto"/>
        <w:ind w:left="706" w:hanging="706"/>
        <w:rPr>
          <w:rFonts w:cs="Times New Roman"/>
          <w:color w:val="222222"/>
          <w:szCs w:val="24"/>
          <w:shd w:val="clear" w:color="auto" w:fill="FFFFFF"/>
        </w:rPr>
      </w:pPr>
      <w:r w:rsidRPr="00F60F45">
        <w:rPr>
          <w:rFonts w:cs="Times New Roman"/>
          <w:color w:val="222222"/>
          <w:szCs w:val="24"/>
          <w:shd w:val="clear" w:color="auto" w:fill="FFFFFF"/>
        </w:rPr>
        <w:t>Kothari, Jagdish, and Elisabetta Barone. </w:t>
      </w:r>
      <w:r w:rsidRPr="00F60F45">
        <w:rPr>
          <w:rFonts w:cs="Times New Roman"/>
          <w:i/>
          <w:iCs/>
          <w:color w:val="222222"/>
          <w:szCs w:val="24"/>
          <w:shd w:val="clear" w:color="auto" w:fill="FFFFFF"/>
        </w:rPr>
        <w:t>Financial accounting: An international approach</w:t>
      </w:r>
      <w:r w:rsidRPr="00F60F45">
        <w:rPr>
          <w:rFonts w:cs="Times New Roman"/>
          <w:color w:val="222222"/>
          <w:szCs w:val="24"/>
          <w:shd w:val="clear" w:color="auto" w:fill="FFFFFF"/>
        </w:rPr>
        <w:t>. Pearson Education, 2006.</w:t>
      </w:r>
    </w:p>
    <w:p w:rsidR="00F60F45" w:rsidRPr="00F60F45" w:rsidRDefault="00F60F45" w:rsidP="00F60F45">
      <w:pPr>
        <w:spacing w:line="480" w:lineRule="auto"/>
        <w:ind w:left="706" w:hanging="706"/>
        <w:rPr>
          <w:rFonts w:cs="Times New Roman"/>
          <w:color w:val="222222"/>
          <w:szCs w:val="24"/>
          <w:shd w:val="clear" w:color="auto" w:fill="FFFFFF"/>
        </w:rPr>
      </w:pPr>
      <w:r w:rsidRPr="00F60F45">
        <w:rPr>
          <w:rFonts w:cs="Times New Roman"/>
          <w:color w:val="222222"/>
          <w:szCs w:val="24"/>
          <w:shd w:val="clear" w:color="auto" w:fill="FFFFFF"/>
        </w:rPr>
        <w:t>Maynard, Mary, and June Purvis. </w:t>
      </w:r>
      <w:r w:rsidRPr="00F60F45">
        <w:rPr>
          <w:rFonts w:cs="Times New Roman"/>
          <w:i/>
          <w:iCs/>
          <w:color w:val="222222"/>
          <w:szCs w:val="24"/>
          <w:shd w:val="clear" w:color="auto" w:fill="FFFFFF"/>
        </w:rPr>
        <w:t>Researching women's lives from a feminist perspective</w:t>
      </w:r>
      <w:r w:rsidRPr="00F60F45">
        <w:rPr>
          <w:rFonts w:cs="Times New Roman"/>
          <w:color w:val="222222"/>
          <w:szCs w:val="24"/>
          <w:shd w:val="clear" w:color="auto" w:fill="FFFFFF"/>
        </w:rPr>
        <w:t>. Routledge, 2013.</w:t>
      </w:r>
    </w:p>
    <w:p w:rsidR="00F60F45" w:rsidRPr="00F60F45" w:rsidRDefault="00F60F45" w:rsidP="00F60F45">
      <w:pPr>
        <w:spacing w:line="480" w:lineRule="auto"/>
        <w:ind w:left="706" w:hanging="706"/>
        <w:rPr>
          <w:rStyle w:val="selectable"/>
          <w:rFonts w:cs="Times New Roman"/>
          <w:szCs w:val="24"/>
        </w:rPr>
      </w:pPr>
      <w:r w:rsidRPr="00F60F45">
        <w:rPr>
          <w:rFonts w:cs="Times New Roman"/>
          <w:color w:val="222222"/>
          <w:szCs w:val="24"/>
          <w:shd w:val="clear" w:color="auto" w:fill="FFFFFF"/>
        </w:rPr>
        <w:t>Dixon, John, Louise Scura, Richard Carpenter, and Paul Sherman. </w:t>
      </w:r>
      <w:r w:rsidRPr="00F60F45">
        <w:rPr>
          <w:rFonts w:cs="Times New Roman"/>
          <w:i/>
          <w:iCs/>
          <w:color w:val="222222"/>
          <w:szCs w:val="24"/>
          <w:shd w:val="clear" w:color="auto" w:fill="FFFFFF"/>
        </w:rPr>
        <w:t>Economic analysis of environmental impacts</w:t>
      </w:r>
      <w:r w:rsidRPr="00F60F45">
        <w:rPr>
          <w:rFonts w:cs="Times New Roman"/>
          <w:color w:val="222222"/>
          <w:szCs w:val="24"/>
          <w:shd w:val="clear" w:color="auto" w:fill="FFFFFF"/>
        </w:rPr>
        <w:t>. Routledge, 2013.</w:t>
      </w:r>
    </w:p>
    <w:p w:rsidR="00F60F45" w:rsidRDefault="00F60F45" w:rsidP="00F60F45">
      <w:pPr>
        <w:spacing w:line="480" w:lineRule="auto"/>
        <w:rPr>
          <w:rFonts w:cs="Times New Roman"/>
          <w:color w:val="222222"/>
          <w:szCs w:val="24"/>
          <w:shd w:val="clear" w:color="auto" w:fill="FFFFFF"/>
        </w:rPr>
      </w:pPr>
      <w:r w:rsidRPr="00F60F45">
        <w:rPr>
          <w:rFonts w:cs="Times New Roman"/>
          <w:color w:val="222222"/>
          <w:szCs w:val="24"/>
          <w:shd w:val="clear" w:color="auto" w:fill="FFFFFF"/>
        </w:rPr>
        <w:t xml:space="preserve">Eric, Addai–Asamoah. "Post restructuring analysis of working capital management of </w:t>
      </w:r>
    </w:p>
    <w:p w:rsidR="00013E5A" w:rsidRPr="00F60F45" w:rsidRDefault="00F60F45" w:rsidP="00F60F45">
      <w:pPr>
        <w:spacing w:line="480" w:lineRule="auto"/>
        <w:ind w:firstLine="708"/>
        <w:rPr>
          <w:rFonts w:cs="Times New Roman"/>
          <w:szCs w:val="24"/>
        </w:rPr>
      </w:pPr>
      <w:r w:rsidRPr="00F60F45">
        <w:rPr>
          <w:rFonts w:cs="Times New Roman"/>
          <w:color w:val="222222"/>
          <w:szCs w:val="24"/>
          <w:shd w:val="clear" w:color="auto" w:fill="FFFFFF"/>
        </w:rPr>
        <w:t>Pokupharma Limited." PhD diss., 2016.</w:t>
      </w:r>
    </w:p>
    <w:p w:rsidR="009B0967" w:rsidRPr="00BE4C34" w:rsidRDefault="009B0967" w:rsidP="00BE4C34">
      <w:pPr>
        <w:spacing w:line="480" w:lineRule="auto"/>
        <w:rPr>
          <w:rFonts w:cs="Times New Roman"/>
          <w:szCs w:val="24"/>
        </w:rPr>
      </w:pPr>
    </w:p>
    <w:sectPr w:rsidR="009B0967" w:rsidRPr="00BE4C34" w:rsidSect="00922157">
      <w:headerReference w:type="default" r:id="rId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9C2" w:rsidRDefault="00B249C2" w:rsidP="00390805">
      <w:pPr>
        <w:spacing w:after="0" w:line="240" w:lineRule="auto"/>
      </w:pPr>
      <w:r>
        <w:separator/>
      </w:r>
    </w:p>
  </w:endnote>
  <w:endnote w:type="continuationSeparator" w:id="0">
    <w:p w:rsidR="00B249C2" w:rsidRDefault="00B249C2" w:rsidP="0039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9C2" w:rsidRDefault="00B249C2" w:rsidP="00390805">
      <w:pPr>
        <w:spacing w:after="0" w:line="240" w:lineRule="auto"/>
      </w:pPr>
      <w:r>
        <w:separator/>
      </w:r>
    </w:p>
  </w:footnote>
  <w:footnote w:type="continuationSeparator" w:id="0">
    <w:p w:rsidR="00B249C2" w:rsidRDefault="00B249C2" w:rsidP="00390805">
      <w:pPr>
        <w:spacing w:after="0" w:line="240" w:lineRule="auto"/>
      </w:pPr>
      <w:r>
        <w:continuationSeparator/>
      </w:r>
    </w:p>
  </w:footnote>
  <w:footnote w:id="1">
    <w:p w:rsidR="00F60F45" w:rsidRPr="00F60F45" w:rsidRDefault="00F60F45" w:rsidP="00F60F45">
      <w:pPr>
        <w:spacing w:line="480" w:lineRule="auto"/>
        <w:ind w:left="706" w:hanging="706"/>
        <w:rPr>
          <w:rFonts w:cs="Times New Roman"/>
          <w:color w:val="222222"/>
          <w:sz w:val="20"/>
          <w:szCs w:val="24"/>
          <w:shd w:val="clear" w:color="auto" w:fill="FFFFFF"/>
        </w:rPr>
      </w:pPr>
      <w:r>
        <w:rPr>
          <w:rStyle w:val="FootnoteReference"/>
        </w:rPr>
        <w:footnoteRef/>
      </w:r>
      <w:r>
        <w:t xml:space="preserve"> </w:t>
      </w:r>
      <w:r w:rsidRPr="00F60F45">
        <w:rPr>
          <w:rFonts w:cs="Times New Roman"/>
          <w:color w:val="222222"/>
          <w:sz w:val="20"/>
          <w:szCs w:val="24"/>
          <w:shd w:val="clear" w:color="auto" w:fill="FFFFFF"/>
        </w:rPr>
        <w:t>Maynard, Mary, and June Purvis. </w:t>
      </w:r>
      <w:r w:rsidRPr="00F60F45">
        <w:rPr>
          <w:rFonts w:cs="Times New Roman"/>
          <w:i/>
          <w:iCs/>
          <w:color w:val="222222"/>
          <w:sz w:val="20"/>
          <w:szCs w:val="24"/>
          <w:shd w:val="clear" w:color="auto" w:fill="FFFFFF"/>
        </w:rPr>
        <w:t>Researching women's lives from a feminist perspective</w:t>
      </w:r>
      <w:r w:rsidRPr="00F60F45">
        <w:rPr>
          <w:rFonts w:cs="Times New Roman"/>
          <w:color w:val="222222"/>
          <w:sz w:val="20"/>
          <w:szCs w:val="24"/>
          <w:shd w:val="clear" w:color="auto" w:fill="FFFFFF"/>
        </w:rPr>
        <w:t>. Routledge, 2013.</w:t>
      </w:r>
    </w:p>
  </w:footnote>
  <w:footnote w:id="2">
    <w:p w:rsidR="00906955" w:rsidRPr="00906955" w:rsidRDefault="00906955" w:rsidP="00906955">
      <w:pPr>
        <w:spacing w:line="480" w:lineRule="auto"/>
        <w:rPr>
          <w:rFonts w:cs="Times New Roman"/>
          <w:color w:val="222222"/>
          <w:sz w:val="18"/>
          <w:szCs w:val="24"/>
          <w:shd w:val="clear" w:color="auto" w:fill="FFFFFF"/>
        </w:rPr>
      </w:pPr>
      <w:r>
        <w:rPr>
          <w:rStyle w:val="FootnoteReference"/>
        </w:rPr>
        <w:footnoteRef/>
      </w:r>
      <w:r>
        <w:t xml:space="preserve"> </w:t>
      </w:r>
      <w:r w:rsidRPr="00906955">
        <w:rPr>
          <w:rFonts w:cs="Times New Roman"/>
          <w:color w:val="222222"/>
          <w:sz w:val="18"/>
          <w:szCs w:val="24"/>
          <w:shd w:val="clear" w:color="auto" w:fill="FFFFFF"/>
        </w:rPr>
        <w:t xml:space="preserve">Eric, Addai–Asamoah. "Post restructuring analysis of working capital management of </w:t>
      </w:r>
    </w:p>
    <w:p w:rsidR="00906955" w:rsidRPr="00906955" w:rsidRDefault="00906955" w:rsidP="00906955">
      <w:pPr>
        <w:spacing w:line="480" w:lineRule="auto"/>
        <w:ind w:firstLine="708"/>
        <w:rPr>
          <w:rFonts w:cs="Times New Roman"/>
          <w:sz w:val="18"/>
          <w:szCs w:val="24"/>
        </w:rPr>
      </w:pPr>
      <w:r w:rsidRPr="00906955">
        <w:rPr>
          <w:rFonts w:cs="Times New Roman"/>
          <w:color w:val="222222"/>
          <w:sz w:val="18"/>
          <w:szCs w:val="24"/>
          <w:shd w:val="clear" w:color="auto" w:fill="FFFFFF"/>
        </w:rPr>
        <w:t>Pokupharma Limited." PhD diss., 2016.</w:t>
      </w:r>
    </w:p>
    <w:p w:rsidR="00906955" w:rsidRPr="00906955" w:rsidRDefault="00906955">
      <w:pPr>
        <w:pStyle w:val="FootnoteText"/>
        <w:rPr>
          <w:lang w:val="en-US"/>
        </w:rPr>
      </w:pPr>
    </w:p>
  </w:footnote>
  <w:footnote w:id="3">
    <w:p w:rsidR="00906955" w:rsidRPr="00906955" w:rsidRDefault="00906955" w:rsidP="00906955">
      <w:pPr>
        <w:spacing w:line="480" w:lineRule="auto"/>
        <w:ind w:left="706" w:hanging="706"/>
        <w:rPr>
          <w:rFonts w:cs="Times New Roman"/>
          <w:color w:val="222222"/>
          <w:sz w:val="20"/>
          <w:szCs w:val="24"/>
          <w:shd w:val="clear" w:color="auto" w:fill="FFFFFF"/>
        </w:rPr>
      </w:pPr>
      <w:r>
        <w:rPr>
          <w:rStyle w:val="FootnoteReference"/>
        </w:rPr>
        <w:footnoteRef/>
      </w:r>
      <w:r>
        <w:t xml:space="preserve"> </w:t>
      </w:r>
      <w:r w:rsidRPr="00906955">
        <w:rPr>
          <w:rFonts w:cs="Times New Roman"/>
          <w:color w:val="222222"/>
          <w:sz w:val="20"/>
          <w:szCs w:val="24"/>
          <w:shd w:val="clear" w:color="auto" w:fill="FFFFFF"/>
        </w:rPr>
        <w:t>Atrill, Peter, and Eddie McLaney. </w:t>
      </w:r>
      <w:r w:rsidRPr="00906955">
        <w:rPr>
          <w:rFonts w:cs="Times New Roman"/>
          <w:i/>
          <w:iCs/>
          <w:color w:val="222222"/>
          <w:sz w:val="20"/>
          <w:szCs w:val="24"/>
          <w:shd w:val="clear" w:color="auto" w:fill="FFFFFF"/>
        </w:rPr>
        <w:t>Management accounting for decision makers</w:t>
      </w:r>
      <w:r w:rsidRPr="00906955">
        <w:rPr>
          <w:rFonts w:cs="Times New Roman"/>
          <w:color w:val="222222"/>
          <w:sz w:val="20"/>
          <w:szCs w:val="24"/>
          <w:shd w:val="clear" w:color="auto" w:fill="FFFFFF"/>
        </w:rPr>
        <w:t>. Pearson Education, 2009.</w:t>
      </w:r>
    </w:p>
  </w:footnote>
  <w:footnote w:id="4">
    <w:p w:rsidR="00906955" w:rsidRPr="00906955" w:rsidRDefault="00906955" w:rsidP="00906955">
      <w:pPr>
        <w:spacing w:line="480" w:lineRule="auto"/>
        <w:ind w:left="706" w:hanging="706"/>
        <w:rPr>
          <w:rStyle w:val="selectable"/>
          <w:rFonts w:cs="Times New Roman"/>
          <w:sz w:val="18"/>
          <w:szCs w:val="24"/>
        </w:rPr>
      </w:pPr>
      <w:r>
        <w:rPr>
          <w:rStyle w:val="FootnoteReference"/>
        </w:rPr>
        <w:footnoteRef/>
      </w:r>
      <w:r>
        <w:t xml:space="preserve"> </w:t>
      </w:r>
      <w:r w:rsidRPr="00906955">
        <w:rPr>
          <w:rFonts w:cs="Times New Roman"/>
          <w:color w:val="222222"/>
          <w:sz w:val="18"/>
          <w:szCs w:val="24"/>
          <w:shd w:val="clear" w:color="auto" w:fill="FFFFFF"/>
        </w:rPr>
        <w:t>Dixon, John, Louise Scura, Richard Carpenter, and Paul Sherman. </w:t>
      </w:r>
      <w:r w:rsidRPr="00906955">
        <w:rPr>
          <w:rFonts w:cs="Times New Roman"/>
          <w:i/>
          <w:iCs/>
          <w:color w:val="222222"/>
          <w:sz w:val="18"/>
          <w:szCs w:val="24"/>
          <w:shd w:val="clear" w:color="auto" w:fill="FFFFFF"/>
        </w:rPr>
        <w:t>Economic analysis of environmental impacts</w:t>
      </w:r>
      <w:r w:rsidRPr="00906955">
        <w:rPr>
          <w:rFonts w:cs="Times New Roman"/>
          <w:color w:val="222222"/>
          <w:sz w:val="18"/>
          <w:szCs w:val="24"/>
          <w:shd w:val="clear" w:color="auto" w:fill="FFFFFF"/>
        </w:rPr>
        <w:t>. Routledge, 2013.</w:t>
      </w:r>
    </w:p>
    <w:p w:rsidR="00906955" w:rsidRPr="00906955" w:rsidRDefault="00906955">
      <w:pPr>
        <w:pStyle w:val="FootnoteText"/>
        <w:rPr>
          <w:lang w:val="en-US"/>
        </w:rPr>
      </w:pPr>
    </w:p>
  </w:footnote>
  <w:footnote w:id="5">
    <w:p w:rsidR="00906955" w:rsidRPr="00906955" w:rsidRDefault="00906955" w:rsidP="00922157">
      <w:pPr>
        <w:spacing w:after="0" w:line="480" w:lineRule="auto"/>
        <w:ind w:left="706" w:hanging="706"/>
        <w:rPr>
          <w:rFonts w:cs="Times New Roman"/>
          <w:color w:val="222222"/>
          <w:sz w:val="20"/>
          <w:szCs w:val="24"/>
          <w:shd w:val="clear" w:color="auto" w:fill="FFFFFF"/>
        </w:rPr>
      </w:pPr>
      <w:r>
        <w:rPr>
          <w:rStyle w:val="FootnoteReference"/>
        </w:rPr>
        <w:footnoteRef/>
      </w:r>
      <w:r>
        <w:t xml:space="preserve"> </w:t>
      </w:r>
      <w:r w:rsidRPr="00906955">
        <w:rPr>
          <w:rFonts w:cs="Times New Roman"/>
          <w:color w:val="222222"/>
          <w:sz w:val="20"/>
          <w:szCs w:val="24"/>
          <w:shd w:val="clear" w:color="auto" w:fill="FFFFFF"/>
        </w:rPr>
        <w:t>Kothari, Jagdish, and Elisabetta Barone. </w:t>
      </w:r>
      <w:r w:rsidRPr="00906955">
        <w:rPr>
          <w:rFonts w:cs="Times New Roman"/>
          <w:i/>
          <w:iCs/>
          <w:color w:val="222222"/>
          <w:sz w:val="20"/>
          <w:szCs w:val="24"/>
          <w:shd w:val="clear" w:color="auto" w:fill="FFFFFF"/>
        </w:rPr>
        <w:t>Financial accounting: An international approach</w:t>
      </w:r>
      <w:r w:rsidRPr="00906955">
        <w:rPr>
          <w:rFonts w:cs="Times New Roman"/>
          <w:color w:val="222222"/>
          <w:sz w:val="20"/>
          <w:szCs w:val="24"/>
          <w:shd w:val="clear" w:color="auto" w:fill="FFFFFF"/>
        </w:rPr>
        <w:t>. Pearson Education, 2006.</w:t>
      </w:r>
    </w:p>
  </w:footnote>
  <w:footnote w:id="6">
    <w:p w:rsidR="00922157" w:rsidRPr="00922157" w:rsidRDefault="00922157" w:rsidP="00922157">
      <w:pPr>
        <w:spacing w:after="0" w:line="480" w:lineRule="auto"/>
        <w:ind w:left="706" w:hanging="706"/>
        <w:rPr>
          <w:rStyle w:val="selectable"/>
          <w:rFonts w:cs="Times New Roman"/>
          <w:sz w:val="20"/>
          <w:szCs w:val="24"/>
        </w:rPr>
      </w:pPr>
      <w:r>
        <w:rPr>
          <w:rStyle w:val="FootnoteReference"/>
        </w:rPr>
        <w:footnoteRef/>
      </w:r>
      <w:r>
        <w:t xml:space="preserve"> </w:t>
      </w:r>
      <w:r w:rsidRPr="00922157">
        <w:rPr>
          <w:rFonts w:cs="Times New Roman"/>
          <w:color w:val="222222"/>
          <w:sz w:val="20"/>
          <w:szCs w:val="24"/>
          <w:shd w:val="clear" w:color="auto" w:fill="FFFFFF"/>
        </w:rPr>
        <w:t>Dixon, John, Louise Scura, Richard Carpenter, and Paul Sherman. </w:t>
      </w:r>
      <w:r w:rsidRPr="00922157">
        <w:rPr>
          <w:rFonts w:cs="Times New Roman"/>
          <w:i/>
          <w:iCs/>
          <w:color w:val="222222"/>
          <w:sz w:val="20"/>
          <w:szCs w:val="24"/>
          <w:shd w:val="clear" w:color="auto" w:fill="FFFFFF"/>
        </w:rPr>
        <w:t>Economic analysis of environmental impacts</w:t>
      </w:r>
      <w:r w:rsidRPr="00922157">
        <w:rPr>
          <w:rFonts w:cs="Times New Roman"/>
          <w:color w:val="222222"/>
          <w:sz w:val="20"/>
          <w:szCs w:val="24"/>
          <w:shd w:val="clear" w:color="auto" w:fill="FFFFFF"/>
        </w:rPr>
        <w:t>. Routledge, 2013.</w:t>
      </w:r>
    </w:p>
    <w:p w:rsidR="00922157" w:rsidRPr="00922157" w:rsidRDefault="00922157">
      <w:pPr>
        <w:pStyle w:val="FootnoteText"/>
        <w:rPr>
          <w:lang w:val="en-US"/>
        </w:rPr>
      </w:pPr>
    </w:p>
  </w:footnote>
  <w:footnote w:id="7">
    <w:p w:rsidR="00922157" w:rsidRPr="00922157" w:rsidRDefault="00922157" w:rsidP="00922157">
      <w:pPr>
        <w:spacing w:line="480" w:lineRule="auto"/>
        <w:ind w:left="706" w:hanging="706"/>
        <w:rPr>
          <w:rFonts w:cs="Times New Roman"/>
          <w:color w:val="222222"/>
          <w:sz w:val="20"/>
          <w:szCs w:val="24"/>
          <w:shd w:val="clear" w:color="auto" w:fill="FFFFFF"/>
        </w:rPr>
      </w:pPr>
      <w:r>
        <w:rPr>
          <w:rStyle w:val="FootnoteReference"/>
        </w:rPr>
        <w:footnoteRef/>
      </w:r>
      <w:r>
        <w:t xml:space="preserve"> </w:t>
      </w:r>
      <w:r w:rsidRPr="00922157">
        <w:rPr>
          <w:rFonts w:cs="Times New Roman"/>
          <w:color w:val="222222"/>
          <w:sz w:val="20"/>
          <w:szCs w:val="24"/>
          <w:shd w:val="clear" w:color="auto" w:fill="FFFFFF"/>
        </w:rPr>
        <w:t>Maynard, Mary, and June Purvis. </w:t>
      </w:r>
      <w:r w:rsidRPr="00922157">
        <w:rPr>
          <w:rFonts w:cs="Times New Roman"/>
          <w:i/>
          <w:iCs/>
          <w:color w:val="222222"/>
          <w:sz w:val="20"/>
          <w:szCs w:val="24"/>
          <w:shd w:val="clear" w:color="auto" w:fill="FFFFFF"/>
        </w:rPr>
        <w:t>Researching women's lives from a feminist perspective</w:t>
      </w:r>
      <w:r w:rsidRPr="00922157">
        <w:rPr>
          <w:rFonts w:cs="Times New Roman"/>
          <w:color w:val="222222"/>
          <w:sz w:val="20"/>
          <w:szCs w:val="24"/>
          <w:shd w:val="clear" w:color="auto" w:fill="FFFFFF"/>
        </w:rPr>
        <w:t>. Routledge, 2013.</w:t>
      </w:r>
    </w:p>
  </w:footnote>
  <w:footnote w:id="8">
    <w:p w:rsidR="00922157" w:rsidRPr="00922157" w:rsidRDefault="00922157" w:rsidP="00922157">
      <w:pPr>
        <w:spacing w:line="480" w:lineRule="auto"/>
        <w:rPr>
          <w:rFonts w:cs="Times New Roman"/>
          <w:color w:val="222222"/>
          <w:sz w:val="18"/>
          <w:szCs w:val="24"/>
          <w:shd w:val="clear" w:color="auto" w:fill="FFFFFF"/>
        </w:rPr>
      </w:pPr>
      <w:r>
        <w:rPr>
          <w:rStyle w:val="FootnoteReference"/>
        </w:rPr>
        <w:footnoteRef/>
      </w:r>
      <w:r>
        <w:t xml:space="preserve"> </w:t>
      </w:r>
      <w:r w:rsidRPr="00922157">
        <w:rPr>
          <w:rFonts w:cs="Times New Roman"/>
          <w:color w:val="222222"/>
          <w:sz w:val="18"/>
          <w:szCs w:val="24"/>
          <w:shd w:val="clear" w:color="auto" w:fill="FFFFFF"/>
        </w:rPr>
        <w:t xml:space="preserve">Eric, Addai–Asamoah. "Post restructuring analysis of working capital management of </w:t>
      </w:r>
    </w:p>
    <w:p w:rsidR="00922157" w:rsidRPr="00922157" w:rsidRDefault="00922157" w:rsidP="00922157">
      <w:pPr>
        <w:spacing w:line="480" w:lineRule="auto"/>
        <w:ind w:firstLine="708"/>
        <w:rPr>
          <w:rFonts w:cs="Times New Roman"/>
          <w:sz w:val="18"/>
          <w:szCs w:val="24"/>
        </w:rPr>
      </w:pPr>
      <w:r w:rsidRPr="00922157">
        <w:rPr>
          <w:rFonts w:cs="Times New Roman"/>
          <w:color w:val="222222"/>
          <w:sz w:val="18"/>
          <w:szCs w:val="24"/>
          <w:shd w:val="clear" w:color="auto" w:fill="FFFFFF"/>
        </w:rPr>
        <w:t>Pokupharma Limited." PhD diss., 2016.</w:t>
      </w:r>
    </w:p>
    <w:p w:rsidR="00922157" w:rsidRPr="00922157" w:rsidRDefault="00922157">
      <w:pPr>
        <w:pStyle w:val="FootnoteText"/>
        <w:rPr>
          <w:lang w:val="en-US"/>
        </w:rPr>
      </w:pPr>
    </w:p>
  </w:footnote>
  <w:footnote w:id="9">
    <w:p w:rsidR="00922157" w:rsidRPr="00922157" w:rsidRDefault="00922157" w:rsidP="00922157">
      <w:pPr>
        <w:spacing w:line="480" w:lineRule="auto"/>
        <w:ind w:left="706" w:hanging="706"/>
        <w:rPr>
          <w:rFonts w:cs="Times New Roman"/>
          <w:color w:val="222222"/>
          <w:sz w:val="20"/>
          <w:szCs w:val="24"/>
          <w:shd w:val="clear" w:color="auto" w:fill="FFFFFF"/>
        </w:rPr>
      </w:pPr>
      <w:r>
        <w:rPr>
          <w:rStyle w:val="FootnoteReference"/>
        </w:rPr>
        <w:footnoteRef/>
      </w:r>
      <w:r>
        <w:t xml:space="preserve"> </w:t>
      </w:r>
      <w:r w:rsidRPr="00922157">
        <w:rPr>
          <w:rFonts w:cs="Times New Roman"/>
          <w:color w:val="222222"/>
          <w:sz w:val="20"/>
          <w:szCs w:val="24"/>
          <w:shd w:val="clear" w:color="auto" w:fill="FFFFFF"/>
        </w:rPr>
        <w:t>Kothari, Jagdish, and Elisabetta Barone. </w:t>
      </w:r>
      <w:r w:rsidRPr="00922157">
        <w:rPr>
          <w:rFonts w:cs="Times New Roman"/>
          <w:i/>
          <w:iCs/>
          <w:color w:val="222222"/>
          <w:sz w:val="20"/>
          <w:szCs w:val="24"/>
          <w:shd w:val="clear" w:color="auto" w:fill="FFFFFF"/>
        </w:rPr>
        <w:t>Financial accounting: An international approach</w:t>
      </w:r>
      <w:r w:rsidRPr="00922157">
        <w:rPr>
          <w:rFonts w:cs="Times New Roman"/>
          <w:color w:val="222222"/>
          <w:sz w:val="20"/>
          <w:szCs w:val="24"/>
          <w:shd w:val="clear" w:color="auto" w:fill="FFFFFF"/>
        </w:rPr>
        <w:t>. Pearson Education, 2006.</w:t>
      </w:r>
    </w:p>
  </w:footnote>
  <w:footnote w:id="10">
    <w:p w:rsidR="00922157" w:rsidRPr="00922157" w:rsidRDefault="00922157" w:rsidP="00922157">
      <w:pPr>
        <w:spacing w:line="480" w:lineRule="auto"/>
        <w:ind w:left="706" w:hanging="706"/>
        <w:rPr>
          <w:rFonts w:cs="Times New Roman"/>
          <w:color w:val="222222"/>
          <w:sz w:val="20"/>
          <w:szCs w:val="24"/>
          <w:shd w:val="clear" w:color="auto" w:fill="FFFFFF"/>
        </w:rPr>
      </w:pPr>
      <w:r>
        <w:rPr>
          <w:rStyle w:val="FootnoteReference"/>
        </w:rPr>
        <w:footnoteRef/>
      </w:r>
      <w:r>
        <w:t xml:space="preserve"> </w:t>
      </w:r>
      <w:r w:rsidRPr="00922157">
        <w:rPr>
          <w:rFonts w:cs="Times New Roman"/>
          <w:color w:val="222222"/>
          <w:sz w:val="20"/>
          <w:szCs w:val="24"/>
          <w:shd w:val="clear" w:color="auto" w:fill="FFFFFF"/>
        </w:rPr>
        <w:t>Atrill, Peter, and Eddie McLaney. </w:t>
      </w:r>
      <w:r w:rsidRPr="00922157">
        <w:rPr>
          <w:rFonts w:cs="Times New Roman"/>
          <w:i/>
          <w:iCs/>
          <w:color w:val="222222"/>
          <w:sz w:val="20"/>
          <w:szCs w:val="24"/>
          <w:shd w:val="clear" w:color="auto" w:fill="FFFFFF"/>
        </w:rPr>
        <w:t>Management accounting for decision makers</w:t>
      </w:r>
      <w:r w:rsidRPr="00922157">
        <w:rPr>
          <w:rFonts w:cs="Times New Roman"/>
          <w:color w:val="222222"/>
          <w:sz w:val="20"/>
          <w:szCs w:val="24"/>
          <w:shd w:val="clear" w:color="auto" w:fill="FFFFFF"/>
        </w:rPr>
        <w:t>. Pearson Education, 2009.</w:t>
      </w:r>
    </w:p>
    <w:p w:rsidR="00922157" w:rsidRPr="00922157" w:rsidRDefault="00922157">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4852895"/>
      <w:docPartObj>
        <w:docPartGallery w:val="Page Numbers (Top of Page)"/>
        <w:docPartUnique/>
      </w:docPartObj>
    </w:sdtPr>
    <w:sdtEndPr>
      <w:rPr>
        <w:noProof/>
      </w:rPr>
    </w:sdtEndPr>
    <w:sdtContent>
      <w:p w:rsidR="00922157" w:rsidRDefault="0092215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90805" w:rsidRDefault="0039080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C27"/>
    <w:rsid w:val="000008A4"/>
    <w:rsid w:val="00000DCD"/>
    <w:rsid w:val="00001116"/>
    <w:rsid w:val="0000561D"/>
    <w:rsid w:val="00005803"/>
    <w:rsid w:val="0000671A"/>
    <w:rsid w:val="000101C8"/>
    <w:rsid w:val="000115AE"/>
    <w:rsid w:val="0001192F"/>
    <w:rsid w:val="00013E5A"/>
    <w:rsid w:val="00020E7D"/>
    <w:rsid w:val="000218D0"/>
    <w:rsid w:val="000253E1"/>
    <w:rsid w:val="000265D4"/>
    <w:rsid w:val="000266C2"/>
    <w:rsid w:val="0002701A"/>
    <w:rsid w:val="00027139"/>
    <w:rsid w:val="00035302"/>
    <w:rsid w:val="000366F7"/>
    <w:rsid w:val="00036C22"/>
    <w:rsid w:val="00037581"/>
    <w:rsid w:val="000411E5"/>
    <w:rsid w:val="000457F2"/>
    <w:rsid w:val="00045EBD"/>
    <w:rsid w:val="000502BA"/>
    <w:rsid w:val="000539A0"/>
    <w:rsid w:val="0005582A"/>
    <w:rsid w:val="000562CD"/>
    <w:rsid w:val="00057BAB"/>
    <w:rsid w:val="00057CBE"/>
    <w:rsid w:val="00057D8B"/>
    <w:rsid w:val="000636E4"/>
    <w:rsid w:val="00065CC2"/>
    <w:rsid w:val="000710AB"/>
    <w:rsid w:val="00072BA0"/>
    <w:rsid w:val="000778C2"/>
    <w:rsid w:val="0008019F"/>
    <w:rsid w:val="000821C6"/>
    <w:rsid w:val="00087A77"/>
    <w:rsid w:val="0009039D"/>
    <w:rsid w:val="00090663"/>
    <w:rsid w:val="000915C7"/>
    <w:rsid w:val="00091727"/>
    <w:rsid w:val="000920FE"/>
    <w:rsid w:val="00095D8D"/>
    <w:rsid w:val="00097EE7"/>
    <w:rsid w:val="000A4AC8"/>
    <w:rsid w:val="000A533A"/>
    <w:rsid w:val="000B0C79"/>
    <w:rsid w:val="000B4215"/>
    <w:rsid w:val="000B4A52"/>
    <w:rsid w:val="000B4B72"/>
    <w:rsid w:val="000B59B9"/>
    <w:rsid w:val="000B61E5"/>
    <w:rsid w:val="000B73CB"/>
    <w:rsid w:val="000B7736"/>
    <w:rsid w:val="000B7C84"/>
    <w:rsid w:val="000C5464"/>
    <w:rsid w:val="000C61BC"/>
    <w:rsid w:val="000C6D7B"/>
    <w:rsid w:val="000D119B"/>
    <w:rsid w:val="000D1601"/>
    <w:rsid w:val="000D1E4F"/>
    <w:rsid w:val="000D41CE"/>
    <w:rsid w:val="000D7DDD"/>
    <w:rsid w:val="000E199E"/>
    <w:rsid w:val="000E226F"/>
    <w:rsid w:val="000E2B25"/>
    <w:rsid w:val="000E61B1"/>
    <w:rsid w:val="000F3E1C"/>
    <w:rsid w:val="000F4725"/>
    <w:rsid w:val="000F7D43"/>
    <w:rsid w:val="001004FC"/>
    <w:rsid w:val="00105818"/>
    <w:rsid w:val="00105DF7"/>
    <w:rsid w:val="00111E62"/>
    <w:rsid w:val="0011391E"/>
    <w:rsid w:val="00113CA6"/>
    <w:rsid w:val="00117D69"/>
    <w:rsid w:val="00120323"/>
    <w:rsid w:val="00125236"/>
    <w:rsid w:val="0012665A"/>
    <w:rsid w:val="0012746E"/>
    <w:rsid w:val="0012770F"/>
    <w:rsid w:val="00127B40"/>
    <w:rsid w:val="00130C04"/>
    <w:rsid w:val="00140D21"/>
    <w:rsid w:val="0014182B"/>
    <w:rsid w:val="00141DDC"/>
    <w:rsid w:val="00142CA2"/>
    <w:rsid w:val="001435D3"/>
    <w:rsid w:val="00145A69"/>
    <w:rsid w:val="0014607D"/>
    <w:rsid w:val="0014627C"/>
    <w:rsid w:val="00147506"/>
    <w:rsid w:val="00153F37"/>
    <w:rsid w:val="0015693F"/>
    <w:rsid w:val="00162CD0"/>
    <w:rsid w:val="00163FF5"/>
    <w:rsid w:val="0017003E"/>
    <w:rsid w:val="00176FD7"/>
    <w:rsid w:val="00180CA9"/>
    <w:rsid w:val="001819D6"/>
    <w:rsid w:val="001822F9"/>
    <w:rsid w:val="0018361A"/>
    <w:rsid w:val="00184771"/>
    <w:rsid w:val="00185B31"/>
    <w:rsid w:val="00187C4F"/>
    <w:rsid w:val="00191CD4"/>
    <w:rsid w:val="00191D69"/>
    <w:rsid w:val="0019495A"/>
    <w:rsid w:val="00194A48"/>
    <w:rsid w:val="00195BA4"/>
    <w:rsid w:val="00196F4A"/>
    <w:rsid w:val="001A1E7F"/>
    <w:rsid w:val="001A3DCE"/>
    <w:rsid w:val="001B1FE5"/>
    <w:rsid w:val="001B332F"/>
    <w:rsid w:val="001B3A20"/>
    <w:rsid w:val="001B4243"/>
    <w:rsid w:val="001B55D9"/>
    <w:rsid w:val="001B6588"/>
    <w:rsid w:val="001B6D38"/>
    <w:rsid w:val="001B74FE"/>
    <w:rsid w:val="001C3850"/>
    <w:rsid w:val="001C3891"/>
    <w:rsid w:val="001C7929"/>
    <w:rsid w:val="001D19D7"/>
    <w:rsid w:val="001D3314"/>
    <w:rsid w:val="001D48DE"/>
    <w:rsid w:val="001E6048"/>
    <w:rsid w:val="001F1B8B"/>
    <w:rsid w:val="001F5FC2"/>
    <w:rsid w:val="001F6B3B"/>
    <w:rsid w:val="002048F5"/>
    <w:rsid w:val="00205AE7"/>
    <w:rsid w:val="0020765A"/>
    <w:rsid w:val="0021249C"/>
    <w:rsid w:val="0021569F"/>
    <w:rsid w:val="00217920"/>
    <w:rsid w:val="002220D3"/>
    <w:rsid w:val="0022233A"/>
    <w:rsid w:val="00222444"/>
    <w:rsid w:val="002246CC"/>
    <w:rsid w:val="00225A59"/>
    <w:rsid w:val="00233F64"/>
    <w:rsid w:val="00244749"/>
    <w:rsid w:val="00245250"/>
    <w:rsid w:val="00245A4E"/>
    <w:rsid w:val="00254E41"/>
    <w:rsid w:val="00257579"/>
    <w:rsid w:val="00260A0D"/>
    <w:rsid w:val="00261C76"/>
    <w:rsid w:val="00265735"/>
    <w:rsid w:val="002672FB"/>
    <w:rsid w:val="00276F96"/>
    <w:rsid w:val="00282523"/>
    <w:rsid w:val="00284CBA"/>
    <w:rsid w:val="00292326"/>
    <w:rsid w:val="0029260D"/>
    <w:rsid w:val="002936DE"/>
    <w:rsid w:val="00294615"/>
    <w:rsid w:val="00294E70"/>
    <w:rsid w:val="00295F0D"/>
    <w:rsid w:val="002A1944"/>
    <w:rsid w:val="002A1D42"/>
    <w:rsid w:val="002A2674"/>
    <w:rsid w:val="002A4B41"/>
    <w:rsid w:val="002A4BE2"/>
    <w:rsid w:val="002B0C67"/>
    <w:rsid w:val="002B4176"/>
    <w:rsid w:val="002B7DA2"/>
    <w:rsid w:val="002C13AE"/>
    <w:rsid w:val="002C2692"/>
    <w:rsid w:val="002C366D"/>
    <w:rsid w:val="002C49AE"/>
    <w:rsid w:val="002D357C"/>
    <w:rsid w:val="002D4E4C"/>
    <w:rsid w:val="002D620D"/>
    <w:rsid w:val="002D7299"/>
    <w:rsid w:val="002E1BA7"/>
    <w:rsid w:val="002E66D6"/>
    <w:rsid w:val="002E6E28"/>
    <w:rsid w:val="002E7E14"/>
    <w:rsid w:val="002F54D3"/>
    <w:rsid w:val="002F5F28"/>
    <w:rsid w:val="002F6289"/>
    <w:rsid w:val="00304E88"/>
    <w:rsid w:val="00305D08"/>
    <w:rsid w:val="003066F1"/>
    <w:rsid w:val="00306C58"/>
    <w:rsid w:val="003112F8"/>
    <w:rsid w:val="00312E5D"/>
    <w:rsid w:val="003203D6"/>
    <w:rsid w:val="00320A0A"/>
    <w:rsid w:val="00322D57"/>
    <w:rsid w:val="003244F6"/>
    <w:rsid w:val="00324868"/>
    <w:rsid w:val="00324F6F"/>
    <w:rsid w:val="003279D9"/>
    <w:rsid w:val="00327EDC"/>
    <w:rsid w:val="00330AEA"/>
    <w:rsid w:val="00330DB5"/>
    <w:rsid w:val="0033111D"/>
    <w:rsid w:val="003353A2"/>
    <w:rsid w:val="00336B99"/>
    <w:rsid w:val="0034354E"/>
    <w:rsid w:val="0034509E"/>
    <w:rsid w:val="003466A0"/>
    <w:rsid w:val="00347CB0"/>
    <w:rsid w:val="0035084A"/>
    <w:rsid w:val="00362C3B"/>
    <w:rsid w:val="00370376"/>
    <w:rsid w:val="003706C3"/>
    <w:rsid w:val="00372381"/>
    <w:rsid w:val="0038022B"/>
    <w:rsid w:val="003828F8"/>
    <w:rsid w:val="00384250"/>
    <w:rsid w:val="003851C6"/>
    <w:rsid w:val="003867D2"/>
    <w:rsid w:val="00387829"/>
    <w:rsid w:val="00390805"/>
    <w:rsid w:val="00395869"/>
    <w:rsid w:val="003959C9"/>
    <w:rsid w:val="003A23A1"/>
    <w:rsid w:val="003A5CBC"/>
    <w:rsid w:val="003A696F"/>
    <w:rsid w:val="003A6975"/>
    <w:rsid w:val="003B0095"/>
    <w:rsid w:val="003B192E"/>
    <w:rsid w:val="003B1C95"/>
    <w:rsid w:val="003B1CD1"/>
    <w:rsid w:val="003B69B9"/>
    <w:rsid w:val="003B7CAD"/>
    <w:rsid w:val="003C28AA"/>
    <w:rsid w:val="003C3DD2"/>
    <w:rsid w:val="003C44C7"/>
    <w:rsid w:val="003C6804"/>
    <w:rsid w:val="003C7190"/>
    <w:rsid w:val="003C7CA5"/>
    <w:rsid w:val="003E07E9"/>
    <w:rsid w:val="003E0DC9"/>
    <w:rsid w:val="003E10A0"/>
    <w:rsid w:val="003F1B55"/>
    <w:rsid w:val="003F434C"/>
    <w:rsid w:val="004001DD"/>
    <w:rsid w:val="004014E8"/>
    <w:rsid w:val="00406263"/>
    <w:rsid w:val="00412350"/>
    <w:rsid w:val="00416B3A"/>
    <w:rsid w:val="00420EEC"/>
    <w:rsid w:val="00423DA2"/>
    <w:rsid w:val="004240B6"/>
    <w:rsid w:val="004341EF"/>
    <w:rsid w:val="00435AEA"/>
    <w:rsid w:val="00435B98"/>
    <w:rsid w:val="00437766"/>
    <w:rsid w:val="0044195F"/>
    <w:rsid w:val="004419A7"/>
    <w:rsid w:val="00445AB8"/>
    <w:rsid w:val="00446D69"/>
    <w:rsid w:val="004566E9"/>
    <w:rsid w:val="0046271A"/>
    <w:rsid w:val="00462850"/>
    <w:rsid w:val="00463838"/>
    <w:rsid w:val="004645F2"/>
    <w:rsid w:val="00465BAA"/>
    <w:rsid w:val="00467827"/>
    <w:rsid w:val="00467AAE"/>
    <w:rsid w:val="00470B76"/>
    <w:rsid w:val="0047181F"/>
    <w:rsid w:val="004739ED"/>
    <w:rsid w:val="00473A43"/>
    <w:rsid w:val="00473BB4"/>
    <w:rsid w:val="00473DB7"/>
    <w:rsid w:val="00477928"/>
    <w:rsid w:val="004829E5"/>
    <w:rsid w:val="00482D08"/>
    <w:rsid w:val="00484F44"/>
    <w:rsid w:val="0048700D"/>
    <w:rsid w:val="004870C8"/>
    <w:rsid w:val="00490E65"/>
    <w:rsid w:val="004931ED"/>
    <w:rsid w:val="0049399D"/>
    <w:rsid w:val="00496E8A"/>
    <w:rsid w:val="00497488"/>
    <w:rsid w:val="004A0566"/>
    <w:rsid w:val="004A3355"/>
    <w:rsid w:val="004A52E5"/>
    <w:rsid w:val="004A6030"/>
    <w:rsid w:val="004A61FA"/>
    <w:rsid w:val="004A6231"/>
    <w:rsid w:val="004B04F6"/>
    <w:rsid w:val="004B1635"/>
    <w:rsid w:val="004B4C13"/>
    <w:rsid w:val="004B545C"/>
    <w:rsid w:val="004B5F3D"/>
    <w:rsid w:val="004C268F"/>
    <w:rsid w:val="004D04D9"/>
    <w:rsid w:val="004D1CEF"/>
    <w:rsid w:val="004D5612"/>
    <w:rsid w:val="004D5F39"/>
    <w:rsid w:val="004E4593"/>
    <w:rsid w:val="004E57D5"/>
    <w:rsid w:val="004F1291"/>
    <w:rsid w:val="004F3CF4"/>
    <w:rsid w:val="0051100F"/>
    <w:rsid w:val="00513C2F"/>
    <w:rsid w:val="005143C8"/>
    <w:rsid w:val="00515BFB"/>
    <w:rsid w:val="0051606D"/>
    <w:rsid w:val="00516151"/>
    <w:rsid w:val="00516370"/>
    <w:rsid w:val="00516CC8"/>
    <w:rsid w:val="00520FD5"/>
    <w:rsid w:val="00521431"/>
    <w:rsid w:val="00530562"/>
    <w:rsid w:val="00535555"/>
    <w:rsid w:val="0053746A"/>
    <w:rsid w:val="005443AC"/>
    <w:rsid w:val="005472FC"/>
    <w:rsid w:val="00551205"/>
    <w:rsid w:val="00552187"/>
    <w:rsid w:val="005574B3"/>
    <w:rsid w:val="00564018"/>
    <w:rsid w:val="00564346"/>
    <w:rsid w:val="00565B2D"/>
    <w:rsid w:val="00567E1F"/>
    <w:rsid w:val="00570837"/>
    <w:rsid w:val="00574226"/>
    <w:rsid w:val="00574E82"/>
    <w:rsid w:val="005764BD"/>
    <w:rsid w:val="00577E8B"/>
    <w:rsid w:val="0058188D"/>
    <w:rsid w:val="00581B94"/>
    <w:rsid w:val="00582FAD"/>
    <w:rsid w:val="00584519"/>
    <w:rsid w:val="0058785E"/>
    <w:rsid w:val="00590C77"/>
    <w:rsid w:val="00593479"/>
    <w:rsid w:val="005938FC"/>
    <w:rsid w:val="00593C71"/>
    <w:rsid w:val="00595FD0"/>
    <w:rsid w:val="00596F9D"/>
    <w:rsid w:val="00597294"/>
    <w:rsid w:val="005A0B92"/>
    <w:rsid w:val="005A2396"/>
    <w:rsid w:val="005A29E0"/>
    <w:rsid w:val="005A7AD4"/>
    <w:rsid w:val="005B2014"/>
    <w:rsid w:val="005C04B8"/>
    <w:rsid w:val="005C0687"/>
    <w:rsid w:val="005C3E62"/>
    <w:rsid w:val="005D586E"/>
    <w:rsid w:val="005D61A5"/>
    <w:rsid w:val="005D6FCF"/>
    <w:rsid w:val="005E0897"/>
    <w:rsid w:val="005E5557"/>
    <w:rsid w:val="005E5824"/>
    <w:rsid w:val="005F0ADE"/>
    <w:rsid w:val="005F0AF7"/>
    <w:rsid w:val="005F49A7"/>
    <w:rsid w:val="005F5CC7"/>
    <w:rsid w:val="00602E8B"/>
    <w:rsid w:val="00605541"/>
    <w:rsid w:val="00606E19"/>
    <w:rsid w:val="006131FF"/>
    <w:rsid w:val="00616119"/>
    <w:rsid w:val="006166C8"/>
    <w:rsid w:val="006169C0"/>
    <w:rsid w:val="00616EF3"/>
    <w:rsid w:val="00616FCB"/>
    <w:rsid w:val="00621D7A"/>
    <w:rsid w:val="00622987"/>
    <w:rsid w:val="0062600D"/>
    <w:rsid w:val="00626716"/>
    <w:rsid w:val="00626929"/>
    <w:rsid w:val="0063231C"/>
    <w:rsid w:val="00636B91"/>
    <w:rsid w:val="00636FFF"/>
    <w:rsid w:val="00640B5B"/>
    <w:rsid w:val="006420F1"/>
    <w:rsid w:val="00642819"/>
    <w:rsid w:val="00645700"/>
    <w:rsid w:val="00646D63"/>
    <w:rsid w:val="00647866"/>
    <w:rsid w:val="00647B74"/>
    <w:rsid w:val="0065129D"/>
    <w:rsid w:val="006513E7"/>
    <w:rsid w:val="00653B5A"/>
    <w:rsid w:val="0066228A"/>
    <w:rsid w:val="00662BB1"/>
    <w:rsid w:val="00666C27"/>
    <w:rsid w:val="00667ADB"/>
    <w:rsid w:val="00674E8D"/>
    <w:rsid w:val="00675A12"/>
    <w:rsid w:val="00675A9B"/>
    <w:rsid w:val="00676C6A"/>
    <w:rsid w:val="006776B7"/>
    <w:rsid w:val="006808F6"/>
    <w:rsid w:val="006809A4"/>
    <w:rsid w:val="00680D15"/>
    <w:rsid w:val="006855C8"/>
    <w:rsid w:val="00687702"/>
    <w:rsid w:val="00691B8A"/>
    <w:rsid w:val="00695D33"/>
    <w:rsid w:val="0069615A"/>
    <w:rsid w:val="00696CE5"/>
    <w:rsid w:val="006A1856"/>
    <w:rsid w:val="006A212C"/>
    <w:rsid w:val="006B1359"/>
    <w:rsid w:val="006B2A76"/>
    <w:rsid w:val="006B2FD9"/>
    <w:rsid w:val="006B4642"/>
    <w:rsid w:val="006B4735"/>
    <w:rsid w:val="006B4B27"/>
    <w:rsid w:val="006B4DA6"/>
    <w:rsid w:val="006B5AA6"/>
    <w:rsid w:val="006B7E6F"/>
    <w:rsid w:val="006C06F7"/>
    <w:rsid w:val="006C3536"/>
    <w:rsid w:val="006C5DF2"/>
    <w:rsid w:val="006C7CFF"/>
    <w:rsid w:val="006C7E75"/>
    <w:rsid w:val="006D0462"/>
    <w:rsid w:val="006D0E72"/>
    <w:rsid w:val="006D1757"/>
    <w:rsid w:val="006D238A"/>
    <w:rsid w:val="006D6B99"/>
    <w:rsid w:val="006E4896"/>
    <w:rsid w:val="006E775E"/>
    <w:rsid w:val="006F4F00"/>
    <w:rsid w:val="006F6741"/>
    <w:rsid w:val="00700AB0"/>
    <w:rsid w:val="00704BB8"/>
    <w:rsid w:val="00706FBF"/>
    <w:rsid w:val="007070A4"/>
    <w:rsid w:val="007130DB"/>
    <w:rsid w:val="00713C10"/>
    <w:rsid w:val="007163E5"/>
    <w:rsid w:val="00722130"/>
    <w:rsid w:val="00722EBE"/>
    <w:rsid w:val="00723EBA"/>
    <w:rsid w:val="00724F31"/>
    <w:rsid w:val="00724FD8"/>
    <w:rsid w:val="0072588C"/>
    <w:rsid w:val="00727852"/>
    <w:rsid w:val="00730D06"/>
    <w:rsid w:val="00732E3B"/>
    <w:rsid w:val="0074263E"/>
    <w:rsid w:val="0074561E"/>
    <w:rsid w:val="00745DC2"/>
    <w:rsid w:val="00746BD4"/>
    <w:rsid w:val="00747193"/>
    <w:rsid w:val="00752726"/>
    <w:rsid w:val="00752861"/>
    <w:rsid w:val="0075480C"/>
    <w:rsid w:val="00755EBA"/>
    <w:rsid w:val="00760055"/>
    <w:rsid w:val="007610A5"/>
    <w:rsid w:val="00764141"/>
    <w:rsid w:val="007650D7"/>
    <w:rsid w:val="00771E5F"/>
    <w:rsid w:val="007740E9"/>
    <w:rsid w:val="007745C1"/>
    <w:rsid w:val="00775775"/>
    <w:rsid w:val="0078305A"/>
    <w:rsid w:val="00783960"/>
    <w:rsid w:val="00786BA5"/>
    <w:rsid w:val="00786BBB"/>
    <w:rsid w:val="00790588"/>
    <w:rsid w:val="0079129C"/>
    <w:rsid w:val="00791BB0"/>
    <w:rsid w:val="00797296"/>
    <w:rsid w:val="007973E2"/>
    <w:rsid w:val="00797EB7"/>
    <w:rsid w:val="007A10B8"/>
    <w:rsid w:val="007A13A5"/>
    <w:rsid w:val="007A3EAB"/>
    <w:rsid w:val="007A7BC2"/>
    <w:rsid w:val="007B2AD6"/>
    <w:rsid w:val="007B3B7A"/>
    <w:rsid w:val="007B3FE4"/>
    <w:rsid w:val="007B5A2C"/>
    <w:rsid w:val="007B6AEE"/>
    <w:rsid w:val="007C0B10"/>
    <w:rsid w:val="007C141D"/>
    <w:rsid w:val="007C5D35"/>
    <w:rsid w:val="007C65BA"/>
    <w:rsid w:val="007D0395"/>
    <w:rsid w:val="007D1FEB"/>
    <w:rsid w:val="007D49A8"/>
    <w:rsid w:val="007D4AFE"/>
    <w:rsid w:val="007D662E"/>
    <w:rsid w:val="007E213F"/>
    <w:rsid w:val="007E2A0C"/>
    <w:rsid w:val="007F0915"/>
    <w:rsid w:val="007F09F7"/>
    <w:rsid w:val="007F14D0"/>
    <w:rsid w:val="007F64A5"/>
    <w:rsid w:val="00803F0D"/>
    <w:rsid w:val="00806120"/>
    <w:rsid w:val="0081373E"/>
    <w:rsid w:val="00814224"/>
    <w:rsid w:val="008154AE"/>
    <w:rsid w:val="00824EAB"/>
    <w:rsid w:val="008277D5"/>
    <w:rsid w:val="00832C44"/>
    <w:rsid w:val="008342C4"/>
    <w:rsid w:val="008374C3"/>
    <w:rsid w:val="008423D9"/>
    <w:rsid w:val="008440B7"/>
    <w:rsid w:val="00844C1A"/>
    <w:rsid w:val="00844F17"/>
    <w:rsid w:val="00845E6C"/>
    <w:rsid w:val="008469F9"/>
    <w:rsid w:val="00846A5E"/>
    <w:rsid w:val="00850B0B"/>
    <w:rsid w:val="0085325D"/>
    <w:rsid w:val="008630BC"/>
    <w:rsid w:val="00864B98"/>
    <w:rsid w:val="00867961"/>
    <w:rsid w:val="00870492"/>
    <w:rsid w:val="008725DE"/>
    <w:rsid w:val="00872F19"/>
    <w:rsid w:val="00875AC0"/>
    <w:rsid w:val="00875C7E"/>
    <w:rsid w:val="00877578"/>
    <w:rsid w:val="008820D8"/>
    <w:rsid w:val="00883DD3"/>
    <w:rsid w:val="00883E2F"/>
    <w:rsid w:val="00885BF8"/>
    <w:rsid w:val="00886672"/>
    <w:rsid w:val="00891543"/>
    <w:rsid w:val="00893871"/>
    <w:rsid w:val="00896C82"/>
    <w:rsid w:val="008A1DC3"/>
    <w:rsid w:val="008A4798"/>
    <w:rsid w:val="008A6078"/>
    <w:rsid w:val="008A7605"/>
    <w:rsid w:val="008B0404"/>
    <w:rsid w:val="008B4604"/>
    <w:rsid w:val="008B5DF5"/>
    <w:rsid w:val="008B6C97"/>
    <w:rsid w:val="008C1506"/>
    <w:rsid w:val="008C3485"/>
    <w:rsid w:val="008C6331"/>
    <w:rsid w:val="008D11A6"/>
    <w:rsid w:val="008D2098"/>
    <w:rsid w:val="008E0032"/>
    <w:rsid w:val="008E02DC"/>
    <w:rsid w:val="008E3A51"/>
    <w:rsid w:val="008E7B39"/>
    <w:rsid w:val="008F1387"/>
    <w:rsid w:val="008F229B"/>
    <w:rsid w:val="008F2E8D"/>
    <w:rsid w:val="008F3B2C"/>
    <w:rsid w:val="008F4D95"/>
    <w:rsid w:val="008F4E32"/>
    <w:rsid w:val="008F568A"/>
    <w:rsid w:val="008F6EE6"/>
    <w:rsid w:val="0090592E"/>
    <w:rsid w:val="00906955"/>
    <w:rsid w:val="00911CC3"/>
    <w:rsid w:val="0092031C"/>
    <w:rsid w:val="00922157"/>
    <w:rsid w:val="00926875"/>
    <w:rsid w:val="00926F09"/>
    <w:rsid w:val="00930010"/>
    <w:rsid w:val="009320EF"/>
    <w:rsid w:val="00933406"/>
    <w:rsid w:val="00933DCD"/>
    <w:rsid w:val="00935148"/>
    <w:rsid w:val="0093589E"/>
    <w:rsid w:val="0094761D"/>
    <w:rsid w:val="009525EB"/>
    <w:rsid w:val="0095743B"/>
    <w:rsid w:val="0096155D"/>
    <w:rsid w:val="00962022"/>
    <w:rsid w:val="00962578"/>
    <w:rsid w:val="00964CD3"/>
    <w:rsid w:val="009713FB"/>
    <w:rsid w:val="00971ADD"/>
    <w:rsid w:val="00973FB2"/>
    <w:rsid w:val="00976150"/>
    <w:rsid w:val="00982185"/>
    <w:rsid w:val="00982CC5"/>
    <w:rsid w:val="00990DE0"/>
    <w:rsid w:val="0099294F"/>
    <w:rsid w:val="00992B5A"/>
    <w:rsid w:val="00995579"/>
    <w:rsid w:val="0099764E"/>
    <w:rsid w:val="009A1A1E"/>
    <w:rsid w:val="009A5374"/>
    <w:rsid w:val="009A65F8"/>
    <w:rsid w:val="009B0967"/>
    <w:rsid w:val="009B0C36"/>
    <w:rsid w:val="009B1690"/>
    <w:rsid w:val="009B1DB5"/>
    <w:rsid w:val="009B2418"/>
    <w:rsid w:val="009B795D"/>
    <w:rsid w:val="009C06F7"/>
    <w:rsid w:val="009C1ABB"/>
    <w:rsid w:val="009C3413"/>
    <w:rsid w:val="009C3656"/>
    <w:rsid w:val="009C45E4"/>
    <w:rsid w:val="009C5C7B"/>
    <w:rsid w:val="009C68CF"/>
    <w:rsid w:val="009D0D08"/>
    <w:rsid w:val="009D0E8E"/>
    <w:rsid w:val="009D2463"/>
    <w:rsid w:val="009D5A6F"/>
    <w:rsid w:val="009D676D"/>
    <w:rsid w:val="009D70DB"/>
    <w:rsid w:val="009E0D86"/>
    <w:rsid w:val="009E1FC4"/>
    <w:rsid w:val="009E20BE"/>
    <w:rsid w:val="009E61EA"/>
    <w:rsid w:val="009F153F"/>
    <w:rsid w:val="009F304A"/>
    <w:rsid w:val="009F3BC6"/>
    <w:rsid w:val="009F5E5A"/>
    <w:rsid w:val="009F7BC9"/>
    <w:rsid w:val="00A00B37"/>
    <w:rsid w:val="00A00E22"/>
    <w:rsid w:val="00A05FD7"/>
    <w:rsid w:val="00A1261E"/>
    <w:rsid w:val="00A148EA"/>
    <w:rsid w:val="00A160EA"/>
    <w:rsid w:val="00A2032F"/>
    <w:rsid w:val="00A20815"/>
    <w:rsid w:val="00A2185F"/>
    <w:rsid w:val="00A21DDC"/>
    <w:rsid w:val="00A2320D"/>
    <w:rsid w:val="00A2589A"/>
    <w:rsid w:val="00A27300"/>
    <w:rsid w:val="00A27BBE"/>
    <w:rsid w:val="00A27F41"/>
    <w:rsid w:val="00A3101C"/>
    <w:rsid w:val="00A337FF"/>
    <w:rsid w:val="00A34C9C"/>
    <w:rsid w:val="00A4087E"/>
    <w:rsid w:val="00A42C0E"/>
    <w:rsid w:val="00A437AC"/>
    <w:rsid w:val="00A4481B"/>
    <w:rsid w:val="00A457CF"/>
    <w:rsid w:val="00A46004"/>
    <w:rsid w:val="00A47D4A"/>
    <w:rsid w:val="00A505D3"/>
    <w:rsid w:val="00A5170C"/>
    <w:rsid w:val="00A540F9"/>
    <w:rsid w:val="00A57222"/>
    <w:rsid w:val="00A5729A"/>
    <w:rsid w:val="00A57CE2"/>
    <w:rsid w:val="00A65F43"/>
    <w:rsid w:val="00A74155"/>
    <w:rsid w:val="00A749B6"/>
    <w:rsid w:val="00A7555A"/>
    <w:rsid w:val="00A76990"/>
    <w:rsid w:val="00A80D9A"/>
    <w:rsid w:val="00A81FDC"/>
    <w:rsid w:val="00A84FCB"/>
    <w:rsid w:val="00A85BCB"/>
    <w:rsid w:val="00A91F98"/>
    <w:rsid w:val="00A927DC"/>
    <w:rsid w:val="00A92DA8"/>
    <w:rsid w:val="00A93CCC"/>
    <w:rsid w:val="00A94726"/>
    <w:rsid w:val="00A94795"/>
    <w:rsid w:val="00A95D10"/>
    <w:rsid w:val="00AA1374"/>
    <w:rsid w:val="00AA7F47"/>
    <w:rsid w:val="00AB1BE8"/>
    <w:rsid w:val="00AB22E5"/>
    <w:rsid w:val="00AB2DB9"/>
    <w:rsid w:val="00AB4C2A"/>
    <w:rsid w:val="00AB528C"/>
    <w:rsid w:val="00AC15A0"/>
    <w:rsid w:val="00AC45D7"/>
    <w:rsid w:val="00AC4853"/>
    <w:rsid w:val="00AC49CD"/>
    <w:rsid w:val="00AD1B3C"/>
    <w:rsid w:val="00AD505C"/>
    <w:rsid w:val="00AD63DF"/>
    <w:rsid w:val="00AD7082"/>
    <w:rsid w:val="00AE7ABE"/>
    <w:rsid w:val="00AE7BFA"/>
    <w:rsid w:val="00AF0531"/>
    <w:rsid w:val="00AF0651"/>
    <w:rsid w:val="00AF1996"/>
    <w:rsid w:val="00AF3421"/>
    <w:rsid w:val="00AF4812"/>
    <w:rsid w:val="00B063BD"/>
    <w:rsid w:val="00B07F0C"/>
    <w:rsid w:val="00B113C0"/>
    <w:rsid w:val="00B14231"/>
    <w:rsid w:val="00B2287E"/>
    <w:rsid w:val="00B23A56"/>
    <w:rsid w:val="00B23B9E"/>
    <w:rsid w:val="00B249C2"/>
    <w:rsid w:val="00B318BF"/>
    <w:rsid w:val="00B31C27"/>
    <w:rsid w:val="00B345E6"/>
    <w:rsid w:val="00B37163"/>
    <w:rsid w:val="00B40218"/>
    <w:rsid w:val="00B419A9"/>
    <w:rsid w:val="00B42AB6"/>
    <w:rsid w:val="00B44566"/>
    <w:rsid w:val="00B45847"/>
    <w:rsid w:val="00B458A7"/>
    <w:rsid w:val="00B57EC9"/>
    <w:rsid w:val="00B67E38"/>
    <w:rsid w:val="00B7444C"/>
    <w:rsid w:val="00B749AB"/>
    <w:rsid w:val="00B74F82"/>
    <w:rsid w:val="00B7585E"/>
    <w:rsid w:val="00B83A8F"/>
    <w:rsid w:val="00B8573C"/>
    <w:rsid w:val="00B939E8"/>
    <w:rsid w:val="00B956C5"/>
    <w:rsid w:val="00B97F56"/>
    <w:rsid w:val="00BA080D"/>
    <w:rsid w:val="00BA096F"/>
    <w:rsid w:val="00BA4226"/>
    <w:rsid w:val="00BA5A21"/>
    <w:rsid w:val="00BA67ED"/>
    <w:rsid w:val="00BB3403"/>
    <w:rsid w:val="00BB4A98"/>
    <w:rsid w:val="00BB765C"/>
    <w:rsid w:val="00BC13F1"/>
    <w:rsid w:val="00BC1FAB"/>
    <w:rsid w:val="00BC2461"/>
    <w:rsid w:val="00BC2BEE"/>
    <w:rsid w:val="00BC3318"/>
    <w:rsid w:val="00BC3DDC"/>
    <w:rsid w:val="00BD1F4A"/>
    <w:rsid w:val="00BD28DB"/>
    <w:rsid w:val="00BD310F"/>
    <w:rsid w:val="00BD4763"/>
    <w:rsid w:val="00BE4C34"/>
    <w:rsid w:val="00BE5386"/>
    <w:rsid w:val="00BF6225"/>
    <w:rsid w:val="00C02475"/>
    <w:rsid w:val="00C055D8"/>
    <w:rsid w:val="00C0616E"/>
    <w:rsid w:val="00C07CD8"/>
    <w:rsid w:val="00C1301A"/>
    <w:rsid w:val="00C13C5C"/>
    <w:rsid w:val="00C15BAD"/>
    <w:rsid w:val="00C20112"/>
    <w:rsid w:val="00C20C52"/>
    <w:rsid w:val="00C22906"/>
    <w:rsid w:val="00C23A2A"/>
    <w:rsid w:val="00C27027"/>
    <w:rsid w:val="00C272AC"/>
    <w:rsid w:val="00C30560"/>
    <w:rsid w:val="00C32E80"/>
    <w:rsid w:val="00C4217E"/>
    <w:rsid w:val="00C430DF"/>
    <w:rsid w:val="00C441DC"/>
    <w:rsid w:val="00C44BCD"/>
    <w:rsid w:val="00C45FDF"/>
    <w:rsid w:val="00C520DB"/>
    <w:rsid w:val="00C53C01"/>
    <w:rsid w:val="00C553FB"/>
    <w:rsid w:val="00C57F52"/>
    <w:rsid w:val="00C60AD0"/>
    <w:rsid w:val="00C64023"/>
    <w:rsid w:val="00C75D6B"/>
    <w:rsid w:val="00C841B6"/>
    <w:rsid w:val="00C913DA"/>
    <w:rsid w:val="00C92661"/>
    <w:rsid w:val="00C9680C"/>
    <w:rsid w:val="00C97541"/>
    <w:rsid w:val="00C97679"/>
    <w:rsid w:val="00C97C4A"/>
    <w:rsid w:val="00CA03A1"/>
    <w:rsid w:val="00CA0A6B"/>
    <w:rsid w:val="00CA0D72"/>
    <w:rsid w:val="00CA4B3B"/>
    <w:rsid w:val="00CA4EDD"/>
    <w:rsid w:val="00CB1076"/>
    <w:rsid w:val="00CB2FF5"/>
    <w:rsid w:val="00CB3C27"/>
    <w:rsid w:val="00CB3F1A"/>
    <w:rsid w:val="00CC06DE"/>
    <w:rsid w:val="00CC12CC"/>
    <w:rsid w:val="00CC28D8"/>
    <w:rsid w:val="00CC51A7"/>
    <w:rsid w:val="00CC6B25"/>
    <w:rsid w:val="00CC6CE4"/>
    <w:rsid w:val="00CC7A65"/>
    <w:rsid w:val="00CE3A86"/>
    <w:rsid w:val="00CE7BA7"/>
    <w:rsid w:val="00CF29C0"/>
    <w:rsid w:val="00CF358F"/>
    <w:rsid w:val="00CF5253"/>
    <w:rsid w:val="00CF615E"/>
    <w:rsid w:val="00D04657"/>
    <w:rsid w:val="00D15163"/>
    <w:rsid w:val="00D15706"/>
    <w:rsid w:val="00D17128"/>
    <w:rsid w:val="00D2066D"/>
    <w:rsid w:val="00D261C1"/>
    <w:rsid w:val="00D274FF"/>
    <w:rsid w:val="00D367AC"/>
    <w:rsid w:val="00D36CA4"/>
    <w:rsid w:val="00D37AEF"/>
    <w:rsid w:val="00D37D22"/>
    <w:rsid w:val="00D40844"/>
    <w:rsid w:val="00D4180B"/>
    <w:rsid w:val="00D42200"/>
    <w:rsid w:val="00D51C79"/>
    <w:rsid w:val="00D52F75"/>
    <w:rsid w:val="00D54661"/>
    <w:rsid w:val="00D61ADF"/>
    <w:rsid w:val="00D62DAC"/>
    <w:rsid w:val="00D652D6"/>
    <w:rsid w:val="00D65E6C"/>
    <w:rsid w:val="00D6614E"/>
    <w:rsid w:val="00D67F8B"/>
    <w:rsid w:val="00D71DA1"/>
    <w:rsid w:val="00D72CDC"/>
    <w:rsid w:val="00D75E28"/>
    <w:rsid w:val="00D77AEE"/>
    <w:rsid w:val="00D80C70"/>
    <w:rsid w:val="00D84886"/>
    <w:rsid w:val="00D91086"/>
    <w:rsid w:val="00D91549"/>
    <w:rsid w:val="00D9308F"/>
    <w:rsid w:val="00D95A52"/>
    <w:rsid w:val="00DA1686"/>
    <w:rsid w:val="00DA39EE"/>
    <w:rsid w:val="00DA5798"/>
    <w:rsid w:val="00DA6249"/>
    <w:rsid w:val="00DB1527"/>
    <w:rsid w:val="00DB2391"/>
    <w:rsid w:val="00DB5B27"/>
    <w:rsid w:val="00DB6C32"/>
    <w:rsid w:val="00DC4AC4"/>
    <w:rsid w:val="00DC5285"/>
    <w:rsid w:val="00DD1F12"/>
    <w:rsid w:val="00DD5717"/>
    <w:rsid w:val="00DD6D19"/>
    <w:rsid w:val="00DE0F00"/>
    <w:rsid w:val="00DE0F38"/>
    <w:rsid w:val="00DE1862"/>
    <w:rsid w:val="00DE39BB"/>
    <w:rsid w:val="00DE5282"/>
    <w:rsid w:val="00DE5DF3"/>
    <w:rsid w:val="00DF04AC"/>
    <w:rsid w:val="00DF13F6"/>
    <w:rsid w:val="00DF2292"/>
    <w:rsid w:val="00DF39B1"/>
    <w:rsid w:val="00DF5567"/>
    <w:rsid w:val="00DF6272"/>
    <w:rsid w:val="00E026D2"/>
    <w:rsid w:val="00E1069A"/>
    <w:rsid w:val="00E11779"/>
    <w:rsid w:val="00E16A6D"/>
    <w:rsid w:val="00E2596A"/>
    <w:rsid w:val="00E30F0D"/>
    <w:rsid w:val="00E3320B"/>
    <w:rsid w:val="00E375CA"/>
    <w:rsid w:val="00E43367"/>
    <w:rsid w:val="00E43BF7"/>
    <w:rsid w:val="00E44EE7"/>
    <w:rsid w:val="00E47D66"/>
    <w:rsid w:val="00E519BB"/>
    <w:rsid w:val="00E54183"/>
    <w:rsid w:val="00E6256C"/>
    <w:rsid w:val="00E635F2"/>
    <w:rsid w:val="00E642D7"/>
    <w:rsid w:val="00E6605C"/>
    <w:rsid w:val="00E80216"/>
    <w:rsid w:val="00E809DF"/>
    <w:rsid w:val="00E81B58"/>
    <w:rsid w:val="00E85380"/>
    <w:rsid w:val="00E8549F"/>
    <w:rsid w:val="00E91263"/>
    <w:rsid w:val="00E93FE2"/>
    <w:rsid w:val="00E94D0E"/>
    <w:rsid w:val="00EA1FA8"/>
    <w:rsid w:val="00EA24BB"/>
    <w:rsid w:val="00EA3168"/>
    <w:rsid w:val="00EA5092"/>
    <w:rsid w:val="00EB156F"/>
    <w:rsid w:val="00EB1FDF"/>
    <w:rsid w:val="00EB22A1"/>
    <w:rsid w:val="00EB22BA"/>
    <w:rsid w:val="00EB54EC"/>
    <w:rsid w:val="00EB70A1"/>
    <w:rsid w:val="00EC343C"/>
    <w:rsid w:val="00EC3B5F"/>
    <w:rsid w:val="00EC3BDA"/>
    <w:rsid w:val="00EC6229"/>
    <w:rsid w:val="00EC6DBA"/>
    <w:rsid w:val="00EC75B9"/>
    <w:rsid w:val="00ED7340"/>
    <w:rsid w:val="00ED7562"/>
    <w:rsid w:val="00EE105E"/>
    <w:rsid w:val="00EE346E"/>
    <w:rsid w:val="00EF3433"/>
    <w:rsid w:val="00EF345B"/>
    <w:rsid w:val="00EF3661"/>
    <w:rsid w:val="00F01A5A"/>
    <w:rsid w:val="00F109B7"/>
    <w:rsid w:val="00F10F0A"/>
    <w:rsid w:val="00F12F22"/>
    <w:rsid w:val="00F13511"/>
    <w:rsid w:val="00F146EE"/>
    <w:rsid w:val="00F23AD5"/>
    <w:rsid w:val="00F23DB6"/>
    <w:rsid w:val="00F24405"/>
    <w:rsid w:val="00F26284"/>
    <w:rsid w:val="00F331BC"/>
    <w:rsid w:val="00F34FE7"/>
    <w:rsid w:val="00F3703A"/>
    <w:rsid w:val="00F37854"/>
    <w:rsid w:val="00F44934"/>
    <w:rsid w:val="00F6007A"/>
    <w:rsid w:val="00F600D5"/>
    <w:rsid w:val="00F60F45"/>
    <w:rsid w:val="00F65A90"/>
    <w:rsid w:val="00F66529"/>
    <w:rsid w:val="00F73EF9"/>
    <w:rsid w:val="00F816CB"/>
    <w:rsid w:val="00F819A6"/>
    <w:rsid w:val="00F823E5"/>
    <w:rsid w:val="00F82B0C"/>
    <w:rsid w:val="00F82F11"/>
    <w:rsid w:val="00F86E0A"/>
    <w:rsid w:val="00F903FB"/>
    <w:rsid w:val="00F910CF"/>
    <w:rsid w:val="00F926A2"/>
    <w:rsid w:val="00F93CB8"/>
    <w:rsid w:val="00F963D5"/>
    <w:rsid w:val="00F97B13"/>
    <w:rsid w:val="00FA7C39"/>
    <w:rsid w:val="00FB0BF7"/>
    <w:rsid w:val="00FB31EC"/>
    <w:rsid w:val="00FB330D"/>
    <w:rsid w:val="00FB46E6"/>
    <w:rsid w:val="00FC04BB"/>
    <w:rsid w:val="00FC2CD6"/>
    <w:rsid w:val="00FC2F4E"/>
    <w:rsid w:val="00FC2FE4"/>
    <w:rsid w:val="00FC3872"/>
    <w:rsid w:val="00FC45A4"/>
    <w:rsid w:val="00FD0AB0"/>
    <w:rsid w:val="00FD2382"/>
    <w:rsid w:val="00FD473E"/>
    <w:rsid w:val="00FD4886"/>
    <w:rsid w:val="00FE082E"/>
    <w:rsid w:val="00FE0BDE"/>
    <w:rsid w:val="00FE1655"/>
    <w:rsid w:val="00FE21AF"/>
    <w:rsid w:val="00FE7353"/>
    <w:rsid w:val="00FF173E"/>
  </w:rsids>
  <m:mathPr>
    <m:mathFont m:val="Cambria Math"/>
    <m:brkBin m:val="before"/>
    <m:brkBinSub m:val="--"/>
    <m:smallFrac/>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FFCB4B-4C66-4615-B3FD-D540334D0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C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933DCD"/>
  </w:style>
  <w:style w:type="character" w:styleId="CommentReference">
    <w:name w:val="annotation reference"/>
    <w:basedOn w:val="DefaultParagraphFont"/>
    <w:uiPriority w:val="99"/>
    <w:semiHidden/>
    <w:unhideWhenUsed/>
    <w:rsid w:val="00BC13F1"/>
    <w:rPr>
      <w:sz w:val="16"/>
      <w:szCs w:val="16"/>
    </w:rPr>
  </w:style>
  <w:style w:type="paragraph" w:styleId="CommentText">
    <w:name w:val="annotation text"/>
    <w:basedOn w:val="Normal"/>
    <w:link w:val="CommentTextChar"/>
    <w:uiPriority w:val="99"/>
    <w:semiHidden/>
    <w:unhideWhenUsed/>
    <w:rsid w:val="00BC13F1"/>
    <w:pPr>
      <w:spacing w:line="240" w:lineRule="auto"/>
    </w:pPr>
    <w:rPr>
      <w:sz w:val="20"/>
    </w:rPr>
  </w:style>
  <w:style w:type="character" w:customStyle="1" w:styleId="CommentTextChar">
    <w:name w:val="Comment Text Char"/>
    <w:basedOn w:val="DefaultParagraphFont"/>
    <w:link w:val="CommentText"/>
    <w:uiPriority w:val="99"/>
    <w:semiHidden/>
    <w:rsid w:val="00BC13F1"/>
    <w:rPr>
      <w:sz w:val="20"/>
      <w:szCs w:val="20"/>
      <w:lang w:val="en-US"/>
    </w:rPr>
  </w:style>
  <w:style w:type="paragraph" w:styleId="CommentSubject">
    <w:name w:val="annotation subject"/>
    <w:basedOn w:val="CommentText"/>
    <w:next w:val="CommentText"/>
    <w:link w:val="CommentSubjectChar"/>
    <w:uiPriority w:val="99"/>
    <w:semiHidden/>
    <w:unhideWhenUsed/>
    <w:rsid w:val="00BC13F1"/>
    <w:rPr>
      <w:b/>
      <w:bCs/>
    </w:rPr>
  </w:style>
  <w:style w:type="character" w:customStyle="1" w:styleId="CommentSubjectChar">
    <w:name w:val="Comment Subject Char"/>
    <w:basedOn w:val="CommentTextChar"/>
    <w:link w:val="CommentSubject"/>
    <w:uiPriority w:val="99"/>
    <w:semiHidden/>
    <w:rsid w:val="00BC13F1"/>
    <w:rPr>
      <w:b/>
      <w:bCs/>
      <w:sz w:val="20"/>
      <w:szCs w:val="20"/>
      <w:lang w:val="en-US"/>
    </w:rPr>
  </w:style>
  <w:style w:type="paragraph" w:styleId="Revision">
    <w:name w:val="Revision"/>
    <w:hidden/>
    <w:uiPriority w:val="99"/>
    <w:semiHidden/>
    <w:rsid w:val="00BC13F1"/>
    <w:pPr>
      <w:spacing w:after="0" w:line="240" w:lineRule="auto"/>
    </w:pPr>
    <w:rPr>
      <w:lang w:val="en-US"/>
    </w:rPr>
  </w:style>
  <w:style w:type="paragraph" w:styleId="BalloonText">
    <w:name w:val="Balloon Text"/>
    <w:basedOn w:val="Normal"/>
    <w:link w:val="BalloonTextChar"/>
    <w:uiPriority w:val="99"/>
    <w:semiHidden/>
    <w:unhideWhenUsed/>
    <w:rsid w:val="00BC1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3F1"/>
    <w:rPr>
      <w:rFonts w:ascii="Tahoma" w:hAnsi="Tahoma" w:cs="Tahoma"/>
      <w:sz w:val="16"/>
      <w:szCs w:val="16"/>
      <w:lang w:val="en-US"/>
    </w:rPr>
  </w:style>
  <w:style w:type="paragraph" w:styleId="Header">
    <w:name w:val="header"/>
    <w:basedOn w:val="Normal"/>
    <w:link w:val="HeaderChar"/>
    <w:uiPriority w:val="99"/>
    <w:unhideWhenUsed/>
    <w:rsid w:val="003908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390805"/>
    <w:rPr>
      <w:lang w:val="en-US"/>
    </w:rPr>
  </w:style>
  <w:style w:type="paragraph" w:styleId="Footer">
    <w:name w:val="footer"/>
    <w:basedOn w:val="Normal"/>
    <w:link w:val="FooterChar"/>
    <w:uiPriority w:val="99"/>
    <w:unhideWhenUsed/>
    <w:rsid w:val="003908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390805"/>
    <w:rPr>
      <w:lang w:val="en-US"/>
    </w:rPr>
  </w:style>
  <w:style w:type="paragraph" w:styleId="FootnoteText">
    <w:name w:val="footnote text"/>
    <w:basedOn w:val="Normal"/>
    <w:link w:val="FootnoteTextChar"/>
    <w:uiPriority w:val="99"/>
    <w:semiHidden/>
    <w:unhideWhenUsed/>
    <w:rsid w:val="00F60F45"/>
    <w:pPr>
      <w:spacing w:after="0" w:line="240" w:lineRule="auto"/>
    </w:pPr>
    <w:rPr>
      <w:sz w:val="20"/>
    </w:rPr>
  </w:style>
  <w:style w:type="character" w:customStyle="1" w:styleId="FootnoteTextChar">
    <w:name w:val="Footnote Text Char"/>
    <w:basedOn w:val="DefaultParagraphFont"/>
    <w:link w:val="FootnoteText"/>
    <w:uiPriority w:val="99"/>
    <w:semiHidden/>
    <w:rsid w:val="00F60F45"/>
    <w:rPr>
      <w:sz w:val="20"/>
    </w:rPr>
  </w:style>
  <w:style w:type="character" w:styleId="FootnoteReference">
    <w:name w:val="footnote reference"/>
    <w:basedOn w:val="DefaultParagraphFont"/>
    <w:uiPriority w:val="99"/>
    <w:semiHidden/>
    <w:unhideWhenUsed/>
    <w:rsid w:val="00F60F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1412</Words>
  <Characters>8051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user</cp:lastModifiedBy>
  <cp:revision>2</cp:revision>
  <dcterms:created xsi:type="dcterms:W3CDTF">2018-10-21T14:03:00Z</dcterms:created>
  <dcterms:modified xsi:type="dcterms:W3CDTF">2018-10-21T14:03:00Z</dcterms:modified>
</cp:coreProperties>
</file>